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0EE95D" w14:textId="77777777" w:rsidR="006D01A2" w:rsidRPr="008779C3" w:rsidRDefault="006D01A2" w:rsidP="006D01A2">
      <w:pPr>
        <w:spacing w:before="100" w:beforeAutospacing="1" w:after="100" w:afterAutospacing="1"/>
        <w:rPr>
          <w:rFonts w:ascii="Times New Roman" w:hAnsi="Times New Roman" w:cs="Times New Roman"/>
          <w:lang w:eastAsia="it-IT"/>
        </w:rPr>
      </w:pPr>
      <w:r w:rsidRPr="008779C3">
        <w:rPr>
          <w:rFonts w:ascii="Frutiger" w:hAnsi="Frutiger" w:cs="Times New Roman"/>
          <w:lang w:eastAsia="it-IT"/>
        </w:rPr>
        <w:t xml:space="preserve">CAPITOLO QUARTO </w:t>
      </w:r>
    </w:p>
    <w:p w14:paraId="4E1B73F2" w14:textId="77777777" w:rsidR="006D01A2" w:rsidRPr="008779C3" w:rsidRDefault="006D01A2" w:rsidP="006D01A2">
      <w:pPr>
        <w:spacing w:before="100" w:beforeAutospacing="1" w:after="100" w:afterAutospacing="1"/>
        <w:rPr>
          <w:rFonts w:ascii="Times New Roman" w:hAnsi="Times New Roman" w:cs="Times New Roman"/>
          <w:lang w:eastAsia="it-IT"/>
        </w:rPr>
      </w:pPr>
      <w:r w:rsidRPr="008779C3">
        <w:rPr>
          <w:rFonts w:ascii="Frutiger" w:hAnsi="Frutiger" w:cs="Times New Roman"/>
          <w:b/>
          <w:bCs/>
          <w:sz w:val="36"/>
          <w:szCs w:val="36"/>
          <w:lang w:eastAsia="it-IT"/>
        </w:rPr>
        <w:t xml:space="preserve">Gli aspetti fiscali </w:t>
      </w:r>
    </w:p>
    <w:p w14:paraId="0E3BE415" w14:textId="77777777"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Dal momento che la tassazione dell’atto di compravendita e</w:t>
      </w:r>
      <w:r>
        <w:rPr>
          <w:rFonts w:ascii="Frutiger" w:hAnsi="Frutiger" w:cs="Times New Roman"/>
          <w:sz w:val="22"/>
          <w:szCs w:val="22"/>
          <w:lang w:eastAsia="it-IT"/>
        </w:rPr>
        <w:t>̀ un costo necessario ed obbli</w:t>
      </w:r>
      <w:r w:rsidRPr="008779C3">
        <w:rPr>
          <w:rFonts w:ascii="Frutiger" w:hAnsi="Frutiger" w:cs="Times New Roman"/>
          <w:sz w:val="22"/>
          <w:szCs w:val="22"/>
          <w:lang w:eastAsia="it-IT"/>
        </w:rPr>
        <w:t xml:space="preserve">gatorio da sostenere che si somma al costo reale del bene che si va ad acquistare è necessario avere un quadro, quanto più realistico delle imposte e tasse sull’abitazione, nonché delle eventuali detrazioni e possibili contributi al fine di evitare brutte sorprese. </w:t>
      </w:r>
    </w:p>
    <w:p w14:paraId="2AA9B2F3" w14:textId="77777777"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Va inoltre tenuto conto che il nostro sistema fiscale è sogge</w:t>
      </w:r>
      <w:r>
        <w:rPr>
          <w:rFonts w:ascii="Frutiger" w:hAnsi="Frutiger" w:cs="Times New Roman"/>
          <w:sz w:val="22"/>
          <w:szCs w:val="22"/>
          <w:lang w:eastAsia="it-IT"/>
        </w:rPr>
        <w:t>tto a subitanei e continui cam</w:t>
      </w:r>
      <w:r w:rsidRPr="008779C3">
        <w:rPr>
          <w:rFonts w:ascii="Frutiger" w:hAnsi="Frutiger" w:cs="Times New Roman"/>
          <w:sz w:val="22"/>
          <w:szCs w:val="22"/>
          <w:lang w:eastAsia="it-IT"/>
        </w:rPr>
        <w:t xml:space="preserve">biamenti (il che si verifica spesso con la legge finanziaria) per cui aliquote, parametri e le stesse imposte possono cambiare dall’oggi al domani ed incidere (spesso negativamente per chi acquista) sugli affari la cui conclusione con l’atto notarile sia dilazionata nel tempo. </w:t>
      </w:r>
    </w:p>
    <w:p w14:paraId="4B42EC65" w14:textId="77777777"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La fonte più qualificata per conoscere il costo complessivo dell’acquisto è indubbiamente il notaio incaricato dell’atto, a cui è consigliabile chiedere il preventivo sia per le tasse, sia per le sue spettanze professionali. </w:t>
      </w:r>
    </w:p>
    <w:p w14:paraId="6173A98B" w14:textId="77777777"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Ad ogni modo la compravendita di immobili è soggetta dalla legislazione tributaria ita- liana ad una serie di imposte, ormai quasi esclusivamente a carico dell’acquirente: </w:t>
      </w:r>
    </w:p>
    <w:p w14:paraId="2D3C24F2" w14:textId="77777777" w:rsidR="006D01A2" w:rsidRPr="008779C3" w:rsidRDefault="006D01A2" w:rsidP="006D01A2">
      <w:pPr>
        <w:numPr>
          <w:ilvl w:val="0"/>
          <w:numId w:val="1"/>
        </w:num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1)  l’imposta di registro o in alternativa l’IVA a seconda della qualificazione soggettiva della parte venditrice ( privato o soggetto che opera nel campo dell’edilizia); </w:t>
      </w:r>
    </w:p>
    <w:p w14:paraId="77621D85" w14:textId="77777777" w:rsidR="006D01A2" w:rsidRPr="008779C3" w:rsidRDefault="006D01A2" w:rsidP="006D01A2">
      <w:pPr>
        <w:numPr>
          <w:ilvl w:val="0"/>
          <w:numId w:val="1"/>
        </w:num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2)  l’imposta catastale; </w:t>
      </w:r>
    </w:p>
    <w:p w14:paraId="0A136DB5" w14:textId="77777777" w:rsidR="006D01A2" w:rsidRPr="008779C3" w:rsidRDefault="006D01A2" w:rsidP="006D01A2">
      <w:pPr>
        <w:numPr>
          <w:ilvl w:val="0"/>
          <w:numId w:val="1"/>
        </w:num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3)  l’imposta ipotecaria. </w:t>
      </w:r>
    </w:p>
    <w:p w14:paraId="26646BEF" w14:textId="77777777"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Le principali (e più gravose) sono l’IVA e/o l’imposta di registro. </w:t>
      </w:r>
    </w:p>
    <w:p w14:paraId="758D659F" w14:textId="77777777"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b/>
          <w:bCs/>
          <w:sz w:val="28"/>
          <w:szCs w:val="28"/>
          <w:lang w:eastAsia="it-IT"/>
        </w:rPr>
        <w:t xml:space="preserve">1. L’IVA </w:t>
      </w:r>
    </w:p>
    <w:p w14:paraId="4C806EA3" w14:textId="77777777"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L’IVA si applica quando il venditore è un’ impresa di costruzione che vende l’immobile entro 4 anni dal momento in cui ha terminato la costruzione o ristrutturazione totale. </w:t>
      </w:r>
    </w:p>
    <w:p w14:paraId="76213003" w14:textId="77777777"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L’IV</w:t>
      </w:r>
      <w:r>
        <w:rPr>
          <w:rFonts w:ascii="Frutiger" w:hAnsi="Frutiger" w:cs="Times New Roman"/>
          <w:sz w:val="22"/>
          <w:szCs w:val="22"/>
          <w:lang w:eastAsia="it-IT"/>
        </w:rPr>
        <w:t>A va calcolata sul prezzo complessivo</w:t>
      </w:r>
      <w:r w:rsidRPr="008779C3">
        <w:rPr>
          <w:rFonts w:ascii="Frutiger" w:hAnsi="Frutiger" w:cs="Times New Roman"/>
          <w:sz w:val="22"/>
          <w:szCs w:val="22"/>
          <w:lang w:eastAsia="it-IT"/>
        </w:rPr>
        <w:t xml:space="preserve"> pattuito tra venditore </w:t>
      </w:r>
      <w:r>
        <w:rPr>
          <w:rFonts w:ascii="Frutiger" w:hAnsi="Frutiger" w:cs="Times New Roman"/>
          <w:sz w:val="22"/>
          <w:szCs w:val="22"/>
          <w:lang w:eastAsia="it-IT"/>
        </w:rPr>
        <w:t>ed acquirente e le aliquote ap</w:t>
      </w:r>
      <w:r w:rsidRPr="008779C3">
        <w:rPr>
          <w:rFonts w:ascii="Frutiger" w:hAnsi="Frutiger" w:cs="Times New Roman"/>
          <w:sz w:val="22"/>
          <w:szCs w:val="22"/>
          <w:lang w:eastAsia="it-IT"/>
        </w:rPr>
        <w:t xml:space="preserve">plicate sono: </w:t>
      </w:r>
    </w:p>
    <w:p w14:paraId="723BEA42" w14:textId="77777777"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1) 4% con agevolazioni prima casa;</w:t>
      </w:r>
      <w:r w:rsidRPr="008779C3">
        <w:rPr>
          <w:rFonts w:ascii="Frutiger" w:hAnsi="Frutiger" w:cs="Times New Roman"/>
          <w:sz w:val="22"/>
          <w:szCs w:val="22"/>
          <w:lang w:eastAsia="it-IT"/>
        </w:rPr>
        <w:br/>
        <w:t>2) 10% senza agevolazioni prima casa</w:t>
      </w:r>
      <w:r w:rsidRPr="008779C3">
        <w:rPr>
          <w:rFonts w:ascii="Frutiger" w:hAnsi="Frutiger" w:cs="Times New Roman"/>
          <w:sz w:val="22"/>
          <w:szCs w:val="22"/>
          <w:lang w:eastAsia="it-IT"/>
        </w:rPr>
        <w:br/>
        <w:t xml:space="preserve">3) 20% fabbricati di lusso ai sensi del D.M. 2 agosto 1969. </w:t>
      </w:r>
    </w:p>
    <w:p w14:paraId="7F96D9E3" w14:textId="77777777"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Quando l’atto è soggetto ad IVA ad essa si aggiungono</w:t>
      </w:r>
      <w:r>
        <w:rPr>
          <w:rFonts w:ascii="Frutiger" w:hAnsi="Frutiger" w:cs="Times New Roman"/>
          <w:sz w:val="22"/>
          <w:szCs w:val="22"/>
          <w:lang w:eastAsia="it-IT"/>
        </w:rPr>
        <w:t xml:space="preserve"> tre imposte nella seguente mi</w:t>
      </w:r>
      <w:r w:rsidRPr="008779C3">
        <w:rPr>
          <w:rFonts w:ascii="Frutiger" w:hAnsi="Frutiger" w:cs="Times New Roman"/>
          <w:sz w:val="22"/>
          <w:szCs w:val="22"/>
          <w:lang w:eastAsia="it-IT"/>
        </w:rPr>
        <w:t xml:space="preserve">sura: </w:t>
      </w:r>
    </w:p>
    <w:p w14:paraId="5931D9AA" w14:textId="77777777"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a) imposta di registro euro 168 = fissa b) imposta ipotecaria euro 168 = fissa c) imposta catastale euro 168 = fissa </w:t>
      </w:r>
    </w:p>
    <w:p w14:paraId="687846DE" w14:textId="77777777" w:rsidR="006D01A2" w:rsidRPr="008779C3" w:rsidRDefault="006D01A2" w:rsidP="006D01A2">
      <w:pPr>
        <w:spacing w:before="100" w:beforeAutospacing="1" w:after="100" w:afterAutospacing="1"/>
        <w:rPr>
          <w:rFonts w:ascii="Times New Roman" w:hAnsi="Times New Roman" w:cs="Times New Roman"/>
          <w:lang w:eastAsia="it-IT"/>
        </w:rPr>
      </w:pPr>
      <w:r w:rsidRPr="008779C3">
        <w:rPr>
          <w:rFonts w:ascii="Frutiger" w:hAnsi="Frutiger" w:cs="Times New Roman"/>
          <w:b/>
          <w:bCs/>
          <w:sz w:val="28"/>
          <w:szCs w:val="28"/>
          <w:lang w:eastAsia="it-IT"/>
        </w:rPr>
        <w:t xml:space="preserve">2. L’imposta di registro </w:t>
      </w:r>
    </w:p>
    <w:p w14:paraId="69439301" w14:textId="77777777" w:rsidR="006D01A2" w:rsidRPr="008779C3" w:rsidRDefault="006D01A2" w:rsidP="006D01A2">
      <w:pPr>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L’imposta di registro è prevista quando l’atto non è soggetto ad IVA ovvero se si acquista casa da un privato, da un impresa “ non costruttrice” o da un impresa “costruttrice” ( o che ha ristrutturato totalmente l’immobile ) ed ha finito i lavori da più di quattro anni. </w:t>
      </w:r>
    </w:p>
    <w:p w14:paraId="606B7DD4" w14:textId="77777777" w:rsidR="006D01A2" w:rsidRPr="008779C3" w:rsidRDefault="006D01A2" w:rsidP="006D01A2">
      <w:pPr>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Tale imposta va versata direttamente al notaio al momento </w:t>
      </w:r>
      <w:r>
        <w:rPr>
          <w:rFonts w:ascii="Frutiger" w:hAnsi="Frutiger" w:cs="Times New Roman"/>
          <w:sz w:val="22"/>
          <w:szCs w:val="22"/>
          <w:lang w:eastAsia="it-IT"/>
        </w:rPr>
        <w:t>del rogito e ad essa si aggiun</w:t>
      </w:r>
      <w:r w:rsidRPr="008779C3">
        <w:rPr>
          <w:rFonts w:ascii="Frutiger" w:hAnsi="Frutiger" w:cs="Times New Roman"/>
          <w:sz w:val="22"/>
          <w:szCs w:val="22"/>
          <w:lang w:eastAsia="it-IT"/>
        </w:rPr>
        <w:t xml:space="preserve">gono l’imposta ipotecaria e quella catastale. </w:t>
      </w:r>
    </w:p>
    <w:p w14:paraId="16C72082" w14:textId="77777777" w:rsidR="006D01A2" w:rsidRPr="008779C3" w:rsidRDefault="006D01A2" w:rsidP="006D01A2">
      <w:pPr>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In conclusione se il venditore non è soggetto ad IVA le imposte da pagare per l’acquirente sono: </w:t>
      </w:r>
    </w:p>
    <w:p w14:paraId="7036E3AE" w14:textId="77777777" w:rsidR="006D01A2" w:rsidRPr="008779C3" w:rsidRDefault="006D01A2" w:rsidP="006D01A2">
      <w:pPr>
        <w:spacing w:before="100" w:beforeAutospacing="1" w:after="100" w:afterAutospacing="1"/>
        <w:ind w:left="360"/>
        <w:rPr>
          <w:rFonts w:ascii="Times New Roman" w:hAnsi="Times New Roman" w:cs="Times New Roman"/>
          <w:lang w:eastAsia="it-IT"/>
        </w:rPr>
      </w:pPr>
      <w:r>
        <w:rPr>
          <w:rFonts w:ascii="Frutiger" w:hAnsi="Frutiger" w:cs="Times New Roman"/>
          <w:sz w:val="22"/>
          <w:szCs w:val="22"/>
          <w:lang w:eastAsia="it-IT"/>
        </w:rPr>
        <w:lastRenderedPageBreak/>
        <w:t xml:space="preserve">  </w:t>
      </w:r>
      <w:r w:rsidRPr="008779C3">
        <w:rPr>
          <w:rFonts w:ascii="Frutiger" w:hAnsi="Frutiger" w:cs="Times New Roman"/>
          <w:sz w:val="22"/>
          <w:szCs w:val="22"/>
          <w:lang w:eastAsia="it-IT"/>
        </w:rPr>
        <w:t>a)  s</w:t>
      </w:r>
      <w:r>
        <w:rPr>
          <w:rFonts w:ascii="Frutiger" w:hAnsi="Frutiger" w:cs="Times New Roman"/>
          <w:sz w:val="22"/>
          <w:szCs w:val="22"/>
          <w:lang w:eastAsia="it-IT"/>
        </w:rPr>
        <w:t xml:space="preserve">enza agevolazioni prima casa: </w:t>
      </w:r>
      <w:r w:rsidRPr="008779C3">
        <w:rPr>
          <w:rFonts w:ascii="Frutiger" w:hAnsi="Frutiger" w:cs="Times New Roman"/>
          <w:sz w:val="22"/>
          <w:szCs w:val="22"/>
          <w:lang w:eastAsia="it-IT"/>
        </w:rPr>
        <w:t xml:space="preserve"> </w:t>
      </w:r>
      <w:r>
        <w:rPr>
          <w:rFonts w:ascii="Frutiger" w:hAnsi="Frutiger" w:cs="Times New Roman"/>
          <w:sz w:val="22"/>
          <w:szCs w:val="22"/>
          <w:lang w:eastAsia="it-IT"/>
        </w:rPr>
        <w:t xml:space="preserve">l’imposta di registro del 7%;  l’imposta ipotecaria del 2%; </w:t>
      </w:r>
      <w:r w:rsidRPr="008779C3">
        <w:rPr>
          <w:rFonts w:ascii="Frutiger" w:hAnsi="Frutiger" w:cs="Times New Roman"/>
          <w:sz w:val="22"/>
          <w:szCs w:val="22"/>
          <w:lang w:eastAsia="it-IT"/>
        </w:rPr>
        <w:t xml:space="preserve"> </w:t>
      </w:r>
      <w:r>
        <w:rPr>
          <w:rFonts w:ascii="Frutiger" w:hAnsi="Frutiger" w:cs="Times New Roman"/>
          <w:sz w:val="22"/>
          <w:szCs w:val="22"/>
          <w:lang w:eastAsia="it-IT"/>
        </w:rPr>
        <w:t xml:space="preserve">  </w:t>
      </w:r>
      <w:r w:rsidRPr="008779C3">
        <w:rPr>
          <w:rFonts w:ascii="Frutiger" w:hAnsi="Frutiger" w:cs="Times New Roman"/>
          <w:sz w:val="22"/>
          <w:szCs w:val="22"/>
          <w:lang w:eastAsia="it-IT"/>
        </w:rPr>
        <w:t xml:space="preserve">l’imposta catastale del 1%; </w:t>
      </w:r>
    </w:p>
    <w:p w14:paraId="04C97CDB" w14:textId="77777777" w:rsidR="006D01A2" w:rsidRPr="008779C3" w:rsidRDefault="006D01A2" w:rsidP="006D01A2">
      <w:pPr>
        <w:spacing w:before="100" w:beforeAutospacing="1" w:after="100" w:afterAutospacing="1"/>
        <w:ind w:left="360"/>
        <w:rPr>
          <w:rFonts w:ascii="Times New Roman" w:hAnsi="Times New Roman" w:cs="Times New Roman"/>
          <w:lang w:eastAsia="it-IT"/>
        </w:rPr>
      </w:pPr>
      <w:r w:rsidRPr="008779C3">
        <w:rPr>
          <w:rFonts w:ascii="Frutiger" w:hAnsi="Frutiger" w:cs="Times New Roman"/>
          <w:sz w:val="22"/>
          <w:szCs w:val="22"/>
          <w:lang w:eastAsia="it-IT"/>
        </w:rPr>
        <w:t>b)</w:t>
      </w:r>
      <w:r>
        <w:rPr>
          <w:rFonts w:ascii="Frutiger" w:hAnsi="Frutiger" w:cs="Times New Roman"/>
          <w:sz w:val="22"/>
          <w:szCs w:val="22"/>
          <w:lang w:eastAsia="it-IT"/>
        </w:rPr>
        <w:t xml:space="preserve">  con agevolazioni prima casa:</w:t>
      </w:r>
      <w:r>
        <w:rPr>
          <w:rFonts w:ascii="Frutiger" w:hAnsi="Frutiger" w:cs="Times New Roman"/>
          <w:sz w:val="22"/>
          <w:szCs w:val="22"/>
          <w:lang w:eastAsia="it-IT"/>
        </w:rPr>
        <w:br/>
        <w:t>c</w:t>
      </w:r>
      <w:r w:rsidRPr="008779C3">
        <w:rPr>
          <w:rFonts w:ascii="Frutiger" w:hAnsi="Frutiger" w:cs="Times New Roman"/>
          <w:sz w:val="22"/>
          <w:szCs w:val="22"/>
          <w:lang w:eastAsia="it-IT"/>
        </w:rPr>
        <w:t xml:space="preserve">) l’imposta di </w:t>
      </w:r>
      <w:r>
        <w:rPr>
          <w:rFonts w:ascii="Frutiger" w:hAnsi="Frutiger" w:cs="Times New Roman"/>
          <w:sz w:val="22"/>
          <w:szCs w:val="22"/>
          <w:lang w:eastAsia="it-IT"/>
        </w:rPr>
        <w:t>registro al 2%;</w:t>
      </w:r>
      <w:r>
        <w:rPr>
          <w:rFonts w:ascii="Frutiger" w:hAnsi="Frutiger" w:cs="Times New Roman"/>
          <w:sz w:val="22"/>
          <w:szCs w:val="22"/>
          <w:lang w:eastAsia="it-IT"/>
        </w:rPr>
        <w:br/>
        <w:t>d</w:t>
      </w:r>
      <w:r w:rsidRPr="008779C3">
        <w:rPr>
          <w:rFonts w:ascii="Frutiger" w:hAnsi="Frutiger" w:cs="Times New Roman"/>
          <w:sz w:val="22"/>
          <w:szCs w:val="22"/>
          <w:lang w:eastAsia="it-IT"/>
        </w:rPr>
        <w:t>) l’impost</w:t>
      </w:r>
      <w:r>
        <w:rPr>
          <w:rFonts w:ascii="Frutiger" w:hAnsi="Frutiger" w:cs="Times New Roman"/>
          <w:sz w:val="22"/>
          <w:szCs w:val="22"/>
          <w:lang w:eastAsia="it-IT"/>
        </w:rPr>
        <w:t xml:space="preserve">a ipotecaria euro 168 = fissa; </w:t>
      </w:r>
      <w:r w:rsidRPr="008779C3">
        <w:rPr>
          <w:rFonts w:ascii="Frutiger" w:hAnsi="Frutiger" w:cs="Times New Roman"/>
          <w:sz w:val="22"/>
          <w:szCs w:val="22"/>
          <w:lang w:eastAsia="it-IT"/>
        </w:rPr>
        <w:t xml:space="preserve">l’imposta catastale euro 168 = fissa. </w:t>
      </w:r>
    </w:p>
    <w:p w14:paraId="40C78DBD" w14:textId="77777777" w:rsidR="006D01A2" w:rsidRPr="008779C3" w:rsidRDefault="006D01A2" w:rsidP="006D01A2">
      <w:pPr>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La base imponibile su cui calcolare le imposte di registro, ipotecarie e catastali ad aliquota proporzionale, dopo il DL 223/2006 convertito nella Legge 248/2006 è quella</w:t>
      </w:r>
      <w:r>
        <w:rPr>
          <w:rFonts w:ascii="Frutiger" w:hAnsi="Frutiger" w:cs="Times New Roman"/>
          <w:sz w:val="22"/>
          <w:szCs w:val="22"/>
          <w:lang w:eastAsia="it-IT"/>
        </w:rPr>
        <w:t xml:space="preserve"> della rendita </w:t>
      </w:r>
      <w:r w:rsidRPr="008779C3">
        <w:rPr>
          <w:rFonts w:ascii="Frutiger" w:hAnsi="Frutiger" w:cs="Times New Roman"/>
          <w:sz w:val="22"/>
          <w:szCs w:val="22"/>
          <w:lang w:eastAsia="it-IT"/>
        </w:rPr>
        <w:t xml:space="preserve"> catastale (se trattasi di vendita tra privato e privato), indipendentemente dal prezzo di acquisto che deve comunque essere interamente dichiarato nell’atto di compravendita. </w:t>
      </w:r>
    </w:p>
    <w:p w14:paraId="42955DA2" w14:textId="77777777" w:rsidR="006D01A2" w:rsidRPr="008779C3" w:rsidRDefault="006D01A2" w:rsidP="006D01A2">
      <w:pPr>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Questo sistema comunemente definito “prezzo valore” ha come conseguenza che le parti nel rogito notarile potranno “tranquillamente”</w:t>
      </w:r>
      <w:r>
        <w:rPr>
          <w:rFonts w:ascii="Frutiger" w:hAnsi="Frutiger" w:cs="Times New Roman"/>
          <w:sz w:val="22"/>
          <w:szCs w:val="22"/>
          <w:lang w:eastAsia="it-IT"/>
        </w:rPr>
        <w:t xml:space="preserve"> indicare l’intero prezzo</w:t>
      </w:r>
      <w:r w:rsidRPr="008779C3">
        <w:rPr>
          <w:rFonts w:ascii="Frutiger" w:hAnsi="Frutiger" w:cs="Times New Roman"/>
          <w:sz w:val="22"/>
          <w:szCs w:val="22"/>
          <w:lang w:eastAsia="it-IT"/>
        </w:rPr>
        <w:t xml:space="preserve"> pattuito per la vendita dal momento che rimane comunque inalterato l’aggr</w:t>
      </w:r>
      <w:r>
        <w:rPr>
          <w:rFonts w:ascii="Frutiger" w:hAnsi="Frutiger" w:cs="Times New Roman"/>
          <w:sz w:val="22"/>
          <w:szCs w:val="22"/>
          <w:lang w:eastAsia="it-IT"/>
        </w:rPr>
        <w:t>avio fiscale, essendo quest’ul</w:t>
      </w:r>
      <w:r w:rsidRPr="008779C3">
        <w:rPr>
          <w:rFonts w:ascii="Frutiger" w:hAnsi="Frutiger" w:cs="Times New Roman"/>
          <w:sz w:val="22"/>
          <w:szCs w:val="22"/>
          <w:lang w:eastAsia="it-IT"/>
        </w:rPr>
        <w:t xml:space="preserve">timo sempre calcolato sul valore catastale. </w:t>
      </w:r>
    </w:p>
    <w:p w14:paraId="7735DEBF" w14:textId="77777777" w:rsidR="006D01A2" w:rsidRPr="008779C3" w:rsidRDefault="006D01A2" w:rsidP="006D01A2">
      <w:pPr>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Inoltre per evitare che gli onorari notarili, i quali sono calcol</w:t>
      </w:r>
      <w:r>
        <w:rPr>
          <w:rFonts w:ascii="Frutiger" w:hAnsi="Frutiger" w:cs="Times New Roman"/>
          <w:sz w:val="22"/>
          <w:szCs w:val="22"/>
          <w:lang w:eastAsia="it-IT"/>
        </w:rPr>
        <w:t>ati sul prezzo reale, costitui</w:t>
      </w:r>
      <w:r w:rsidRPr="008779C3">
        <w:rPr>
          <w:rFonts w:ascii="Frutiger" w:hAnsi="Frutiger" w:cs="Times New Roman"/>
          <w:sz w:val="22"/>
          <w:szCs w:val="22"/>
          <w:lang w:eastAsia="it-IT"/>
        </w:rPr>
        <w:t xml:space="preserve">scano un possibile disincentivo all’applicazione della norma, il Legislatore ha prescritto che gli stessi, in questi casi, siano ridotti del 30 %. </w:t>
      </w:r>
    </w:p>
    <w:p w14:paraId="68AF4FDA" w14:textId="77777777" w:rsidR="006D01A2" w:rsidRPr="008779C3" w:rsidRDefault="006D01A2" w:rsidP="006D01A2">
      <w:pPr>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Tale meccanismo si applica quando sono presenti contemporaneamente i seguenti requi- siti: </w:t>
      </w:r>
    </w:p>
    <w:p w14:paraId="289751D0" w14:textId="77777777" w:rsidR="006D01A2" w:rsidRPr="008779C3" w:rsidRDefault="006D01A2" w:rsidP="006D01A2">
      <w:pPr>
        <w:numPr>
          <w:ilvl w:val="0"/>
          <w:numId w:val="2"/>
        </w:numPr>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  l’acquirente è una persona fisica che agisce al di fuori di qualsiasi attività commerciale, professionale o artistica; </w:t>
      </w:r>
    </w:p>
    <w:p w14:paraId="502A5674" w14:textId="77777777" w:rsidR="006D01A2" w:rsidRPr="008779C3" w:rsidRDefault="006D01A2" w:rsidP="006D01A2">
      <w:pPr>
        <w:numPr>
          <w:ilvl w:val="0"/>
          <w:numId w:val="2"/>
        </w:numPr>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la compravendita ha per oggetto immobili ad uso abitat</w:t>
      </w:r>
      <w:r>
        <w:rPr>
          <w:rFonts w:ascii="Frutiger" w:hAnsi="Frutiger" w:cs="Times New Roman"/>
          <w:sz w:val="22"/>
          <w:szCs w:val="22"/>
          <w:lang w:eastAsia="it-IT"/>
        </w:rPr>
        <w:t>ivo e relative pertinenze o ac</w:t>
      </w:r>
      <w:r w:rsidRPr="008779C3">
        <w:rPr>
          <w:rFonts w:ascii="Frutiger" w:hAnsi="Frutiger" w:cs="Times New Roman"/>
          <w:sz w:val="22"/>
          <w:szCs w:val="22"/>
          <w:lang w:eastAsia="it-IT"/>
        </w:rPr>
        <w:t xml:space="preserve">cessori ( per esempio cantine, autorimesse o giardini); </w:t>
      </w:r>
    </w:p>
    <w:p w14:paraId="03437B55" w14:textId="77777777" w:rsidR="006D01A2" w:rsidRPr="008779C3" w:rsidRDefault="006D01A2" w:rsidP="006D01A2">
      <w:pPr>
        <w:numPr>
          <w:ilvl w:val="0"/>
          <w:numId w:val="2"/>
        </w:numPr>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  l’atto è soggetto all’imposta di registro sulla base dei criteri in precedenza enunciati. </w:t>
      </w:r>
    </w:p>
    <w:p w14:paraId="4EDF2187" w14:textId="77777777" w:rsidR="006D01A2" w:rsidRPr="008779C3" w:rsidRDefault="006D01A2" w:rsidP="006D01A2">
      <w:pPr>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Sono quindi esclusi dall’agevolazione ( e pagano le impo</w:t>
      </w:r>
      <w:r>
        <w:rPr>
          <w:rFonts w:ascii="Frutiger" w:hAnsi="Frutiger" w:cs="Times New Roman"/>
          <w:sz w:val="22"/>
          <w:szCs w:val="22"/>
          <w:lang w:eastAsia="it-IT"/>
        </w:rPr>
        <w:t>ste sul prezzo della compraven</w:t>
      </w:r>
      <w:r w:rsidRPr="008779C3">
        <w:rPr>
          <w:rFonts w:ascii="Frutiger" w:hAnsi="Frutiger" w:cs="Times New Roman"/>
          <w:sz w:val="22"/>
          <w:szCs w:val="22"/>
          <w:lang w:eastAsia="it-IT"/>
        </w:rPr>
        <w:t xml:space="preserve">dita): </w:t>
      </w:r>
    </w:p>
    <w:p w14:paraId="611613FB" w14:textId="77777777" w:rsidR="006D01A2" w:rsidRPr="008779C3" w:rsidRDefault="006D01A2" w:rsidP="006D01A2">
      <w:pPr>
        <w:numPr>
          <w:ilvl w:val="0"/>
          <w:numId w:val="3"/>
        </w:numPr>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  gli acquisti effettuati da imprese, società o enti di qualunque genere; </w:t>
      </w:r>
    </w:p>
    <w:p w14:paraId="27097028" w14:textId="77777777" w:rsidR="006D01A2" w:rsidRPr="00097657" w:rsidRDefault="006D01A2" w:rsidP="006D01A2">
      <w:pPr>
        <w:numPr>
          <w:ilvl w:val="0"/>
          <w:numId w:val="3"/>
        </w:numPr>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  l’acquisto di uffici, negozi o capannoni ad uso commerciale, industriale o artigianale, nonché di terreni agricoli o edificabili ( a meno che siano pertinenze, cioè accessori di </w:t>
      </w:r>
      <w:r w:rsidRPr="00097657">
        <w:rPr>
          <w:rFonts w:ascii="Frutiger" w:hAnsi="Frutiger" w:cs="Times New Roman"/>
          <w:sz w:val="22"/>
          <w:szCs w:val="22"/>
          <w:lang w:eastAsia="it-IT"/>
        </w:rPr>
        <w:t xml:space="preserve">abitazioni); </w:t>
      </w:r>
    </w:p>
    <w:p w14:paraId="30207E8E" w14:textId="77777777" w:rsidR="006D01A2" w:rsidRPr="008779C3" w:rsidRDefault="006D01A2" w:rsidP="006D01A2">
      <w:pPr>
        <w:numPr>
          <w:ilvl w:val="0"/>
          <w:numId w:val="3"/>
        </w:numPr>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  le cessioni soggette ad IVA secondo quanto in precedenza chiarito. </w:t>
      </w:r>
    </w:p>
    <w:p w14:paraId="69A3E71F" w14:textId="77777777"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È da precisare che anche se le imposte vengono calcolate sul valore catastale la nuova legge impone comunque l’obbligo di indicare il prezzo reale nell’atto di compravendita ed ha notevolmente inasprito le sanzioni per chi non indica correttamente il prezzo pagato. </w:t>
      </w:r>
    </w:p>
    <w:p w14:paraId="4FE692C9" w14:textId="77777777"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In caso di falsa indicazione del prezzo si perdono le agevolazioni e le imposte vengono applicate sull’intero valore reale dell’i</w:t>
      </w:r>
      <w:r>
        <w:rPr>
          <w:rFonts w:ascii="Frutiger" w:hAnsi="Frutiger" w:cs="Times New Roman"/>
          <w:sz w:val="22"/>
          <w:szCs w:val="22"/>
          <w:lang w:eastAsia="it-IT"/>
        </w:rPr>
        <w:t>mmobile, maggiorate delle</w:t>
      </w:r>
      <w:r w:rsidRPr="008779C3">
        <w:rPr>
          <w:rFonts w:ascii="Frutiger" w:hAnsi="Frutiger" w:cs="Times New Roman"/>
          <w:sz w:val="22"/>
          <w:szCs w:val="22"/>
          <w:lang w:eastAsia="it-IT"/>
        </w:rPr>
        <w:t xml:space="preserve"> sanzioni</w:t>
      </w:r>
      <w:r>
        <w:rPr>
          <w:rFonts w:ascii="Frutiger" w:hAnsi="Frutiger" w:cs="Times New Roman"/>
          <w:sz w:val="22"/>
          <w:szCs w:val="22"/>
          <w:lang w:eastAsia="it-IT"/>
        </w:rPr>
        <w:t xml:space="preserve"> di legge</w:t>
      </w:r>
      <w:r w:rsidRPr="008779C3">
        <w:rPr>
          <w:rFonts w:ascii="Frutiger" w:hAnsi="Frutiger" w:cs="Times New Roman"/>
          <w:sz w:val="22"/>
          <w:szCs w:val="22"/>
          <w:lang w:eastAsia="it-IT"/>
        </w:rPr>
        <w:t xml:space="preserve"> ed infine, sia l’acquirente che il venditore rischiano sanzioni anche penali, fino a 2 anni di reclusione. </w:t>
      </w:r>
    </w:p>
    <w:p w14:paraId="5B9A12E4" w14:textId="77777777"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b/>
          <w:bCs/>
          <w:sz w:val="28"/>
          <w:szCs w:val="28"/>
          <w:lang w:eastAsia="it-IT"/>
        </w:rPr>
        <w:t xml:space="preserve">3. Agevolazioni prima casa </w:t>
      </w:r>
    </w:p>
    <w:p w14:paraId="40D3A7EB" w14:textId="77777777"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Quattro sono i requisiti richiesti dalla normativa vigente per usufruire delle agevolazioni fiscali per l’acquisto della prima casa di cui abbiamo parlato in precedenza: </w:t>
      </w:r>
    </w:p>
    <w:p w14:paraId="12DDBC37" w14:textId="3014BE92" w:rsidR="006D01A2" w:rsidRPr="008779C3" w:rsidRDefault="006D01A2" w:rsidP="006D01A2">
      <w:pPr>
        <w:numPr>
          <w:ilvl w:val="0"/>
          <w:numId w:val="4"/>
        </w:num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a)  l’acquisto deve riguardare una casa di abitazione considerata non “di lusso” secondo particolari criteri ( fissati dal D.M. 2 agosto 1969 ), tra i quali spicca principalmente la superficie, che non deve essere superiore a 240 mq (esclusi </w:t>
      </w:r>
      <w:r w:rsidR="00EB5172">
        <w:rPr>
          <w:rFonts w:ascii="Frutiger" w:hAnsi="Frutiger" w:cs="Times New Roman"/>
          <w:sz w:val="22"/>
          <w:szCs w:val="22"/>
          <w:lang w:eastAsia="it-IT"/>
        </w:rPr>
        <w:t>i balconi, le terrazze, le can</w:t>
      </w:r>
      <w:r w:rsidRPr="008779C3">
        <w:rPr>
          <w:rFonts w:ascii="Frutiger" w:hAnsi="Frutiger" w:cs="Times New Roman"/>
          <w:sz w:val="22"/>
          <w:szCs w:val="22"/>
          <w:lang w:eastAsia="it-IT"/>
        </w:rPr>
        <w:t xml:space="preserve">tine, le soffitte, le scale e posto macchine); </w:t>
      </w:r>
    </w:p>
    <w:p w14:paraId="5F8A354A" w14:textId="77777777" w:rsidR="006D01A2" w:rsidRPr="008779C3" w:rsidRDefault="006D01A2" w:rsidP="006D01A2">
      <w:pPr>
        <w:numPr>
          <w:ilvl w:val="0"/>
          <w:numId w:val="4"/>
        </w:num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b)  l’immobile deve essere ubicato nel Comune in cui l’acquirente ha la residenza o in cui intende stabilirla entro 18 mesi dalla stipula o nel Comune dove l’acquirente svolge la propria attività prevalente (qualunque tipo di attività comprese q</w:t>
      </w:r>
      <w:r>
        <w:rPr>
          <w:rFonts w:ascii="Frutiger" w:hAnsi="Frutiger" w:cs="Times New Roman"/>
          <w:sz w:val="22"/>
          <w:szCs w:val="22"/>
          <w:lang w:eastAsia="it-IT"/>
        </w:rPr>
        <w:t>uelle svolte senza re</w:t>
      </w:r>
      <w:r w:rsidRPr="008779C3">
        <w:rPr>
          <w:rFonts w:ascii="Frutiger" w:hAnsi="Frutiger" w:cs="Times New Roman"/>
          <w:sz w:val="22"/>
          <w:szCs w:val="22"/>
          <w:lang w:eastAsia="it-IT"/>
        </w:rPr>
        <w:t xml:space="preserve">munerazione); questo presupposto non serve se si è cittadini italiani emigrati all’estero o se si è appartenenti al personale in servizio permanente presso le forze armate o alle forze di polizia. </w:t>
      </w:r>
    </w:p>
    <w:p w14:paraId="542B3145" w14:textId="77777777" w:rsidR="006D01A2" w:rsidRPr="008779C3" w:rsidRDefault="006D01A2" w:rsidP="006D01A2">
      <w:pPr>
        <w:numPr>
          <w:ilvl w:val="0"/>
          <w:numId w:val="4"/>
        </w:num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c)  l’acquirente</w:t>
      </w:r>
      <w:r>
        <w:rPr>
          <w:rFonts w:ascii="Frutiger" w:hAnsi="Frutiger" w:cs="Times New Roman"/>
          <w:sz w:val="22"/>
          <w:szCs w:val="22"/>
          <w:lang w:eastAsia="it-IT"/>
        </w:rPr>
        <w:t xml:space="preserve"> </w:t>
      </w:r>
      <w:r w:rsidRPr="008779C3">
        <w:rPr>
          <w:rFonts w:ascii="Frutiger" w:hAnsi="Frutiger" w:cs="Times New Roman"/>
          <w:sz w:val="22"/>
          <w:szCs w:val="22"/>
          <w:lang w:eastAsia="it-IT"/>
        </w:rPr>
        <w:t>non</w:t>
      </w:r>
      <w:r>
        <w:rPr>
          <w:rFonts w:ascii="Frutiger" w:hAnsi="Frutiger" w:cs="Times New Roman"/>
          <w:sz w:val="22"/>
          <w:szCs w:val="22"/>
          <w:lang w:eastAsia="it-IT"/>
        </w:rPr>
        <w:t xml:space="preserve"> </w:t>
      </w:r>
      <w:r w:rsidRPr="008779C3">
        <w:rPr>
          <w:rFonts w:ascii="Frutiger" w:hAnsi="Frutiger" w:cs="Times New Roman"/>
          <w:sz w:val="22"/>
          <w:szCs w:val="22"/>
          <w:lang w:eastAsia="it-IT"/>
        </w:rPr>
        <w:t>deve</w:t>
      </w:r>
      <w:r>
        <w:rPr>
          <w:rFonts w:ascii="Frutiger" w:hAnsi="Frutiger" w:cs="Times New Roman"/>
          <w:sz w:val="22"/>
          <w:szCs w:val="22"/>
          <w:lang w:eastAsia="it-IT"/>
        </w:rPr>
        <w:t xml:space="preserve"> </w:t>
      </w:r>
      <w:r w:rsidRPr="008779C3">
        <w:rPr>
          <w:rFonts w:ascii="Frutiger" w:hAnsi="Frutiger" w:cs="Times New Roman"/>
          <w:sz w:val="22"/>
          <w:szCs w:val="22"/>
          <w:lang w:eastAsia="it-IT"/>
        </w:rPr>
        <w:t>essere</w:t>
      </w:r>
      <w:r>
        <w:rPr>
          <w:rFonts w:ascii="Frutiger" w:hAnsi="Frutiger" w:cs="Times New Roman"/>
          <w:sz w:val="22"/>
          <w:szCs w:val="22"/>
          <w:lang w:eastAsia="it-IT"/>
        </w:rPr>
        <w:t xml:space="preserve"> </w:t>
      </w:r>
      <w:r w:rsidRPr="008779C3">
        <w:rPr>
          <w:rFonts w:ascii="Frutiger" w:hAnsi="Frutiger" w:cs="Times New Roman"/>
          <w:sz w:val="22"/>
          <w:szCs w:val="22"/>
          <w:lang w:eastAsia="it-IT"/>
        </w:rPr>
        <w:t>titolare</w:t>
      </w:r>
      <w:r>
        <w:rPr>
          <w:rFonts w:ascii="Frutiger" w:hAnsi="Frutiger" w:cs="Times New Roman"/>
          <w:sz w:val="22"/>
          <w:szCs w:val="22"/>
          <w:lang w:eastAsia="it-IT"/>
        </w:rPr>
        <w:t xml:space="preserve"> </w:t>
      </w:r>
      <w:r w:rsidRPr="008779C3">
        <w:rPr>
          <w:rFonts w:ascii="Frutiger" w:hAnsi="Frutiger" w:cs="Times New Roman"/>
          <w:sz w:val="22"/>
          <w:szCs w:val="22"/>
          <w:lang w:eastAsia="it-IT"/>
        </w:rPr>
        <w:t>in</w:t>
      </w:r>
      <w:r>
        <w:rPr>
          <w:rFonts w:ascii="Frutiger" w:hAnsi="Frutiger" w:cs="Times New Roman"/>
          <w:sz w:val="22"/>
          <w:szCs w:val="22"/>
          <w:lang w:eastAsia="it-IT"/>
        </w:rPr>
        <w:t xml:space="preserve"> </w:t>
      </w:r>
      <w:r w:rsidRPr="008779C3">
        <w:rPr>
          <w:rFonts w:ascii="Frutiger" w:hAnsi="Frutiger" w:cs="Times New Roman"/>
          <w:sz w:val="22"/>
          <w:szCs w:val="22"/>
          <w:lang w:eastAsia="it-IT"/>
        </w:rPr>
        <w:t>maniera</w:t>
      </w:r>
      <w:r>
        <w:rPr>
          <w:rFonts w:ascii="Frutiger" w:hAnsi="Frutiger" w:cs="Times New Roman"/>
          <w:sz w:val="22"/>
          <w:szCs w:val="22"/>
          <w:lang w:eastAsia="it-IT"/>
        </w:rPr>
        <w:t xml:space="preserve"> </w:t>
      </w:r>
      <w:r w:rsidRPr="008779C3">
        <w:rPr>
          <w:rFonts w:ascii="Frutiger" w:hAnsi="Frutiger" w:cs="Times New Roman"/>
          <w:sz w:val="22"/>
          <w:szCs w:val="22"/>
          <w:lang w:eastAsia="it-IT"/>
        </w:rPr>
        <w:t>esclusiva</w:t>
      </w:r>
      <w:r>
        <w:rPr>
          <w:rFonts w:ascii="Frutiger" w:hAnsi="Frutiger" w:cs="Times New Roman"/>
          <w:sz w:val="22"/>
          <w:szCs w:val="22"/>
          <w:lang w:eastAsia="it-IT"/>
        </w:rPr>
        <w:t xml:space="preserve"> </w:t>
      </w:r>
      <w:r w:rsidRPr="008779C3">
        <w:rPr>
          <w:rFonts w:ascii="Frutiger" w:hAnsi="Frutiger" w:cs="Times New Roman"/>
          <w:sz w:val="22"/>
          <w:szCs w:val="22"/>
          <w:lang w:eastAsia="it-IT"/>
        </w:rPr>
        <w:t>o</w:t>
      </w:r>
      <w:r>
        <w:rPr>
          <w:rFonts w:ascii="Frutiger" w:hAnsi="Frutiger" w:cs="Times New Roman"/>
          <w:sz w:val="22"/>
          <w:szCs w:val="22"/>
          <w:lang w:eastAsia="it-IT"/>
        </w:rPr>
        <w:t xml:space="preserve"> </w:t>
      </w:r>
      <w:r w:rsidRPr="008779C3">
        <w:rPr>
          <w:rFonts w:ascii="Frutiger" w:hAnsi="Frutiger" w:cs="Times New Roman"/>
          <w:sz w:val="22"/>
          <w:szCs w:val="22"/>
          <w:lang w:eastAsia="it-IT"/>
        </w:rPr>
        <w:t>in</w:t>
      </w:r>
      <w:r>
        <w:rPr>
          <w:rFonts w:ascii="Frutiger" w:hAnsi="Frutiger" w:cs="Times New Roman"/>
          <w:sz w:val="22"/>
          <w:szCs w:val="22"/>
          <w:lang w:eastAsia="it-IT"/>
        </w:rPr>
        <w:t xml:space="preserve"> </w:t>
      </w:r>
      <w:r w:rsidRPr="008779C3">
        <w:rPr>
          <w:rFonts w:ascii="Frutiger" w:hAnsi="Frutiger" w:cs="Times New Roman"/>
          <w:sz w:val="22"/>
          <w:szCs w:val="22"/>
          <w:lang w:eastAsia="it-IT"/>
        </w:rPr>
        <w:t>comunione(legale</w:t>
      </w:r>
      <w:r>
        <w:rPr>
          <w:rFonts w:ascii="Frutiger" w:hAnsi="Frutiger" w:cs="Times New Roman"/>
          <w:sz w:val="22"/>
          <w:szCs w:val="22"/>
          <w:lang w:eastAsia="it-IT"/>
        </w:rPr>
        <w:t xml:space="preserve"> </w:t>
      </w:r>
      <w:r w:rsidRPr="008779C3">
        <w:rPr>
          <w:rFonts w:ascii="Frutiger" w:hAnsi="Frutiger" w:cs="Times New Roman"/>
          <w:sz w:val="22"/>
          <w:szCs w:val="22"/>
          <w:lang w:eastAsia="it-IT"/>
        </w:rPr>
        <w:t>o</w:t>
      </w:r>
      <w:r>
        <w:rPr>
          <w:rFonts w:ascii="Frutiger" w:hAnsi="Frutiger" w:cs="Times New Roman"/>
          <w:sz w:val="22"/>
          <w:szCs w:val="22"/>
          <w:lang w:eastAsia="it-IT"/>
        </w:rPr>
        <w:t xml:space="preserve"> con</w:t>
      </w:r>
      <w:r w:rsidRPr="008779C3">
        <w:rPr>
          <w:rFonts w:ascii="Frutiger" w:hAnsi="Frutiger" w:cs="Times New Roman"/>
          <w:sz w:val="22"/>
          <w:szCs w:val="22"/>
          <w:lang w:eastAsia="it-IT"/>
        </w:rPr>
        <w:t xml:space="preserve">venzionale) con il coniuge di diritti di proprietà, usufrutto, uso e abitazione su altra casa di abitazione nel territorio del Comune dove si trova l’immobile da acquistare. Di conseguenza la comproprietà di un’abitazione con altri soggetti diversi dal coniuge non ostacola la richiesta delle agevolazioni; </w:t>
      </w:r>
    </w:p>
    <w:p w14:paraId="180E18A8" w14:textId="77777777" w:rsidR="006D01A2" w:rsidRPr="008779C3" w:rsidRDefault="006D01A2" w:rsidP="006D01A2">
      <w:pPr>
        <w:numPr>
          <w:ilvl w:val="0"/>
          <w:numId w:val="4"/>
        </w:num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d)  non bisogna essere titolare neppure per quote e anche in regime di comunione legale, su tutto il territorio nazionale di diritti di proprietà, usufrutto, uso, abitazione o nuda proprietà, su altra casa di abitazione, acquistata anche dal coniuge, usufruendo delle agevolazioni per l’acquisto della “prima casa”. </w:t>
      </w:r>
    </w:p>
    <w:p w14:paraId="6FD4B0C8" w14:textId="77777777"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Le condizioni di cui alle lettere</w:t>
      </w:r>
      <w:r>
        <w:rPr>
          <w:rFonts w:ascii="Frutiger" w:hAnsi="Frutiger" w:cs="Times New Roman"/>
          <w:sz w:val="22"/>
          <w:szCs w:val="22"/>
          <w:lang w:eastAsia="it-IT"/>
        </w:rPr>
        <w:t xml:space="preserve"> b, c e d,</w:t>
      </w:r>
      <w:r w:rsidRPr="008779C3">
        <w:rPr>
          <w:rFonts w:ascii="Frutiger" w:hAnsi="Frutiger" w:cs="Times New Roman"/>
          <w:sz w:val="22"/>
          <w:szCs w:val="22"/>
          <w:lang w:eastAsia="it-IT"/>
        </w:rPr>
        <w:t xml:space="preserve"> e l’impegno di stabilire la residenza entro 18 mesi, da parte dell’acquirente che non risiede nel Comune ove è ubicato l’immobile che si acquista, devono essere attestate con apposita dichiarazione da inserire nell’atto di acquisto o, come chiarito dall’Agenzia delle Entrate, anche in un atto integrativo. </w:t>
      </w:r>
    </w:p>
    <w:p w14:paraId="4D8EDAFF" w14:textId="77777777"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L’azione di verifica relativa alla sussistenza dei requisiti “prima casa” può essere effettuata dall’ufficio delle entrate territorialmente competente entro il termine massimo di 3 anni dall’acquisto. </w:t>
      </w:r>
    </w:p>
    <w:p w14:paraId="7C7449AA" w14:textId="77777777"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Le agevolazioni per la prima casa sono estese anche alle p</w:t>
      </w:r>
      <w:r>
        <w:rPr>
          <w:rFonts w:ascii="Frutiger" w:hAnsi="Frutiger" w:cs="Times New Roman"/>
          <w:sz w:val="22"/>
          <w:szCs w:val="22"/>
          <w:lang w:eastAsia="it-IT"/>
        </w:rPr>
        <w:t>ertinenze dell’immobile princi</w:t>
      </w:r>
      <w:r w:rsidRPr="008779C3">
        <w:rPr>
          <w:rFonts w:ascii="Frutiger" w:hAnsi="Frutiger" w:cs="Times New Roman"/>
          <w:sz w:val="22"/>
          <w:szCs w:val="22"/>
          <w:lang w:eastAsia="it-IT"/>
        </w:rPr>
        <w:t>pale classificate o classificabili nelle categorie catastali C/2 ( cantina o soffitta ), C/6 ( garage o box ), C/7 (tettoia o posto auto ) limitatamente ad una sol</w:t>
      </w:r>
      <w:r>
        <w:rPr>
          <w:rFonts w:ascii="Frutiger" w:hAnsi="Frutiger" w:cs="Times New Roman"/>
          <w:sz w:val="22"/>
          <w:szCs w:val="22"/>
          <w:lang w:eastAsia="it-IT"/>
        </w:rPr>
        <w:t>a pertinenza per ciascuna cate</w:t>
      </w:r>
      <w:r w:rsidRPr="008779C3">
        <w:rPr>
          <w:rFonts w:ascii="Frutiger" w:hAnsi="Frutiger" w:cs="Times New Roman"/>
          <w:sz w:val="22"/>
          <w:szCs w:val="22"/>
          <w:lang w:eastAsia="it-IT"/>
        </w:rPr>
        <w:t xml:space="preserve">goria anche se non ubicate nel medesimo edificio o complesso immobiliare nel quale è sita l’abitazione principale e anche se acquistate con atto separato. L’acquirente decade dalle agevolazioni prima casa quando: </w:t>
      </w:r>
    </w:p>
    <w:p w14:paraId="143B0794" w14:textId="77777777" w:rsidR="006D01A2" w:rsidRPr="008779C3" w:rsidRDefault="006D01A2" w:rsidP="006D01A2">
      <w:pPr>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a) le dichiarazioni previste dalla legge nell’atto di acquisto siano false;</w:t>
      </w:r>
      <w:r w:rsidRPr="008779C3">
        <w:rPr>
          <w:rFonts w:ascii="Frutiger" w:hAnsi="Frutiger" w:cs="Times New Roman"/>
          <w:sz w:val="22"/>
          <w:szCs w:val="22"/>
          <w:lang w:eastAsia="it-IT"/>
        </w:rPr>
        <w:br/>
        <w:t>b) non trasferisce entro 18 mesi la residenza nel comune in cui è situato l’immobile oggetto dell’acquisto;</w:t>
      </w:r>
      <w:r w:rsidRPr="008779C3">
        <w:rPr>
          <w:rFonts w:ascii="Frutiger" w:hAnsi="Frutiger" w:cs="Times New Roman"/>
          <w:sz w:val="22"/>
          <w:szCs w:val="22"/>
          <w:lang w:eastAsia="it-IT"/>
        </w:rPr>
        <w:br/>
        <w:t>c) vende o dona l’abitazione prima che sia decorso il ter</w:t>
      </w:r>
      <w:r>
        <w:rPr>
          <w:rFonts w:ascii="Frutiger" w:hAnsi="Frutiger" w:cs="Times New Roman"/>
          <w:sz w:val="22"/>
          <w:szCs w:val="22"/>
          <w:lang w:eastAsia="it-IT"/>
        </w:rPr>
        <w:t>mine di 5 anni dalla data di acquisto, tranne se riacquista entro un anno un altro immobile.</w:t>
      </w:r>
      <w:r w:rsidRPr="008779C3">
        <w:rPr>
          <w:rFonts w:ascii="Frutiger" w:hAnsi="Frutiger" w:cs="Times New Roman"/>
          <w:sz w:val="22"/>
          <w:szCs w:val="22"/>
          <w:lang w:eastAsia="it-IT"/>
        </w:rPr>
        <w:t xml:space="preserve"> </w:t>
      </w:r>
    </w:p>
    <w:p w14:paraId="379E8651" w14:textId="77777777" w:rsidR="006D01A2" w:rsidRPr="008779C3" w:rsidRDefault="006D01A2" w:rsidP="006D01A2">
      <w:pPr>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La decadenza dall’agevolazione comporta il pagamento per l’acquirente di una somma pari alla differenza tra imposta pagata e imposta che si </w:t>
      </w:r>
      <w:r>
        <w:rPr>
          <w:rFonts w:ascii="Frutiger" w:hAnsi="Frutiger" w:cs="Times New Roman"/>
          <w:sz w:val="22"/>
          <w:szCs w:val="22"/>
          <w:lang w:eastAsia="it-IT"/>
        </w:rPr>
        <w:t>sarebbe dovuto pagare come “se</w:t>
      </w:r>
      <w:r w:rsidRPr="008779C3">
        <w:rPr>
          <w:rFonts w:ascii="Frutiger" w:hAnsi="Frutiger" w:cs="Times New Roman"/>
          <w:sz w:val="22"/>
          <w:szCs w:val="22"/>
          <w:lang w:eastAsia="it-IT"/>
        </w:rPr>
        <w:t xml:space="preserve">conda casa” maggiorata di una sanzione pari al 30% oltre agli interessi di mora. </w:t>
      </w:r>
    </w:p>
    <w:p w14:paraId="5793AB30" w14:textId="77777777" w:rsidR="006D01A2" w:rsidRPr="008779C3" w:rsidRDefault="006D01A2" w:rsidP="006D01A2">
      <w:pPr>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Nell’ipotesi di vendita prima che siano decorsi 5 anni dalla data dell’acquisto si può evitare la decadenza dalle agevolazioni, acquistando nuovamente un immobile non “di lusso” da adibire ad abitazione principale entro un anno dalla data della vendita stessa. </w:t>
      </w:r>
    </w:p>
    <w:p w14:paraId="571B4181" w14:textId="77777777" w:rsidR="006D01A2" w:rsidRPr="008779C3" w:rsidRDefault="006D01A2" w:rsidP="006D01A2">
      <w:pPr>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In tal caso è possibile anche detrarre dalla somma dovuta a titolo di imposta di registro per il nuovo acquisto l’importo dell’imposta ( di registro o sul valore aggiunto) già pagata in occasione del primo acquisto: è questo, in termini tecnici il cosiddetto “credito d’imposta”, per le cui modalità ed ambito di applicazione è sicuramente opportuno rivolgersi al proprio notaio di fiducia. </w:t>
      </w:r>
    </w:p>
    <w:p w14:paraId="4BACCF60" w14:textId="77777777" w:rsidR="006D01A2" w:rsidRPr="008779C3" w:rsidRDefault="006D01A2" w:rsidP="006D01A2">
      <w:pPr>
        <w:spacing w:before="100" w:beforeAutospacing="1" w:after="100" w:afterAutospacing="1"/>
        <w:rPr>
          <w:rFonts w:ascii="Times New Roman" w:hAnsi="Times New Roman" w:cs="Times New Roman"/>
          <w:lang w:eastAsia="it-IT"/>
        </w:rPr>
      </w:pPr>
      <w:r w:rsidRPr="008779C3">
        <w:rPr>
          <w:rFonts w:ascii="Frutiger" w:hAnsi="Frutiger" w:cs="Times New Roman"/>
          <w:b/>
          <w:bCs/>
          <w:sz w:val="28"/>
          <w:szCs w:val="28"/>
          <w:lang w:eastAsia="it-IT"/>
        </w:rPr>
        <w:t xml:space="preserve">4. Riepilogo delle imposte: </w:t>
      </w:r>
    </w:p>
    <w:tbl>
      <w:tblPr>
        <w:tblW w:w="0" w:type="auto"/>
        <w:tblCellMar>
          <w:top w:w="15" w:type="dxa"/>
          <w:left w:w="15" w:type="dxa"/>
          <w:bottom w:w="15" w:type="dxa"/>
          <w:right w:w="15" w:type="dxa"/>
        </w:tblCellMar>
        <w:tblLook w:val="04A0" w:firstRow="1" w:lastRow="0" w:firstColumn="1" w:lastColumn="0" w:noHBand="0" w:noVBand="1"/>
      </w:tblPr>
      <w:tblGrid>
        <w:gridCol w:w="4863"/>
        <w:gridCol w:w="1308"/>
        <w:gridCol w:w="1497"/>
        <w:gridCol w:w="1519"/>
        <w:gridCol w:w="397"/>
      </w:tblGrid>
      <w:tr w:rsidR="006D01A2" w:rsidRPr="008779C3" w14:paraId="46A9300D" w14:textId="77777777" w:rsidTr="00FC6817">
        <w:tc>
          <w:tcPr>
            <w:tcW w:w="0" w:type="auto"/>
            <w:tcBorders>
              <w:top w:val="single" w:sz="2" w:space="0" w:color="000000"/>
              <w:left w:val="single" w:sz="36" w:space="0" w:color="0F0F0F"/>
              <w:bottom w:val="single" w:sz="2" w:space="0" w:color="000000"/>
              <w:right w:val="single" w:sz="2" w:space="0" w:color="000000"/>
            </w:tcBorders>
            <w:vAlign w:val="center"/>
            <w:hideMark/>
          </w:tcPr>
          <w:p w14:paraId="3F9C63BA"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TIPOLOGIA </w:t>
            </w:r>
          </w:p>
        </w:tc>
        <w:tc>
          <w:tcPr>
            <w:tcW w:w="0" w:type="auto"/>
            <w:gridSpan w:val="4"/>
            <w:tcBorders>
              <w:top w:val="single" w:sz="2" w:space="0" w:color="000000"/>
              <w:left w:val="single" w:sz="2" w:space="0" w:color="000000"/>
              <w:bottom w:val="single" w:sz="2" w:space="0" w:color="000000"/>
              <w:right w:val="single" w:sz="2" w:space="0" w:color="000000"/>
            </w:tcBorders>
            <w:vAlign w:val="center"/>
            <w:hideMark/>
          </w:tcPr>
          <w:p w14:paraId="6DAAA5D8"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IMPOSTE A CARICO DELL’ACQUIRENTE </w:t>
            </w:r>
          </w:p>
        </w:tc>
      </w:tr>
      <w:tr w:rsidR="006D01A2" w:rsidRPr="008779C3" w14:paraId="7BA511D7" w14:textId="77777777" w:rsidTr="00FC6817">
        <w:tc>
          <w:tcPr>
            <w:tcW w:w="0" w:type="auto"/>
            <w:tcBorders>
              <w:top w:val="single" w:sz="2" w:space="0" w:color="000000"/>
              <w:left w:val="single" w:sz="36" w:space="0" w:color="0F0F0F"/>
              <w:bottom w:val="single" w:sz="2" w:space="0" w:color="191616"/>
              <w:right w:val="single" w:sz="2" w:space="0" w:color="000000"/>
            </w:tcBorders>
            <w:vAlign w:val="center"/>
            <w:hideMark/>
          </w:tcPr>
          <w:p w14:paraId="63A541CE" w14:textId="77777777" w:rsidR="006D01A2" w:rsidRPr="008779C3" w:rsidRDefault="006D01A2" w:rsidP="00FC6817">
            <w:pPr>
              <w:rPr>
                <w:rFonts w:ascii="Times New Roman" w:hAnsi="Times New Roman" w:cs="Times New Roman"/>
                <w:lang w:eastAsia="it-IT"/>
              </w:rPr>
            </w:pPr>
          </w:p>
        </w:tc>
        <w:tc>
          <w:tcPr>
            <w:tcW w:w="0" w:type="auto"/>
            <w:tcBorders>
              <w:top w:val="single" w:sz="2" w:space="0" w:color="000000"/>
              <w:left w:val="single" w:sz="2" w:space="0" w:color="000000"/>
              <w:bottom w:val="single" w:sz="2" w:space="0" w:color="191616"/>
              <w:right w:val="single" w:sz="2" w:space="0" w:color="000000"/>
            </w:tcBorders>
            <w:vAlign w:val="center"/>
            <w:hideMark/>
          </w:tcPr>
          <w:p w14:paraId="55DA68EE"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IMPOSTA REGISTRO </w:t>
            </w:r>
          </w:p>
        </w:tc>
        <w:tc>
          <w:tcPr>
            <w:tcW w:w="0" w:type="auto"/>
            <w:tcBorders>
              <w:top w:val="single" w:sz="2" w:space="0" w:color="000000"/>
              <w:left w:val="single" w:sz="2" w:space="0" w:color="000000"/>
              <w:bottom w:val="single" w:sz="2" w:space="0" w:color="191616"/>
              <w:right w:val="single" w:sz="2" w:space="0" w:color="000000"/>
            </w:tcBorders>
            <w:vAlign w:val="center"/>
            <w:hideMark/>
          </w:tcPr>
          <w:p w14:paraId="36F85E49"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IMPOSTA CATASTALE </w:t>
            </w:r>
          </w:p>
        </w:tc>
        <w:tc>
          <w:tcPr>
            <w:tcW w:w="0" w:type="auto"/>
            <w:tcBorders>
              <w:top w:val="single" w:sz="2" w:space="0" w:color="000000"/>
              <w:left w:val="single" w:sz="2" w:space="0" w:color="000000"/>
              <w:bottom w:val="single" w:sz="2" w:space="0" w:color="191616"/>
              <w:right w:val="single" w:sz="2" w:space="0" w:color="000000"/>
            </w:tcBorders>
            <w:vAlign w:val="center"/>
            <w:hideMark/>
          </w:tcPr>
          <w:p w14:paraId="7145D89B"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IMPOSTA IPOTECARIA </w:t>
            </w:r>
          </w:p>
        </w:tc>
        <w:tc>
          <w:tcPr>
            <w:tcW w:w="0" w:type="auto"/>
            <w:tcBorders>
              <w:top w:val="single" w:sz="2" w:space="0" w:color="000000"/>
              <w:left w:val="single" w:sz="2" w:space="0" w:color="000000"/>
              <w:bottom w:val="single" w:sz="2" w:space="0" w:color="191616"/>
              <w:right w:val="single" w:sz="2" w:space="0" w:color="000000"/>
            </w:tcBorders>
            <w:vAlign w:val="center"/>
            <w:hideMark/>
          </w:tcPr>
          <w:p w14:paraId="1F939418"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IVA </w:t>
            </w:r>
          </w:p>
        </w:tc>
      </w:tr>
      <w:tr w:rsidR="006D01A2" w:rsidRPr="008779C3" w14:paraId="2ED2810A" w14:textId="77777777" w:rsidTr="00FC6817">
        <w:tc>
          <w:tcPr>
            <w:tcW w:w="0" w:type="auto"/>
            <w:gridSpan w:val="4"/>
            <w:tcBorders>
              <w:top w:val="single" w:sz="2" w:space="0" w:color="191616"/>
              <w:left w:val="single" w:sz="36" w:space="0" w:color="0F0F0F"/>
              <w:bottom w:val="single" w:sz="2" w:space="0" w:color="161616"/>
              <w:right w:val="single" w:sz="2" w:space="0" w:color="auto"/>
            </w:tcBorders>
            <w:shd w:val="clear" w:color="auto" w:fill="FFFFFF"/>
            <w:vAlign w:val="center"/>
            <w:hideMark/>
          </w:tcPr>
          <w:p w14:paraId="06AA5CFF"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lang w:eastAsia="it-IT"/>
              </w:rPr>
              <w:t xml:space="preserve">ABITAZIONE PRINCIPALE </w:t>
            </w:r>
          </w:p>
        </w:tc>
        <w:tc>
          <w:tcPr>
            <w:tcW w:w="0" w:type="auto"/>
            <w:tcBorders>
              <w:top w:val="single" w:sz="2" w:space="0" w:color="191616"/>
              <w:left w:val="single" w:sz="2" w:space="0" w:color="auto"/>
              <w:bottom w:val="single" w:sz="2" w:space="0" w:color="161616"/>
              <w:right w:val="single" w:sz="2" w:space="0" w:color="000000"/>
            </w:tcBorders>
            <w:vAlign w:val="center"/>
            <w:hideMark/>
          </w:tcPr>
          <w:p w14:paraId="50BE47BA" w14:textId="77777777" w:rsidR="006D01A2" w:rsidRPr="008779C3" w:rsidRDefault="006D01A2" w:rsidP="00FC6817">
            <w:pPr>
              <w:rPr>
                <w:rFonts w:ascii="Times New Roman" w:hAnsi="Times New Roman" w:cs="Times New Roman"/>
                <w:lang w:eastAsia="it-IT"/>
              </w:rPr>
            </w:pPr>
          </w:p>
        </w:tc>
      </w:tr>
      <w:tr w:rsidR="006D01A2" w:rsidRPr="008779C3" w14:paraId="0C24E998" w14:textId="77777777" w:rsidTr="00FC6817">
        <w:tc>
          <w:tcPr>
            <w:tcW w:w="0" w:type="auto"/>
            <w:tcBorders>
              <w:top w:val="single" w:sz="2" w:space="0" w:color="161616"/>
              <w:left w:val="single" w:sz="36" w:space="0" w:color="0F0F0F"/>
              <w:bottom w:val="single" w:sz="2" w:space="0" w:color="000000"/>
              <w:right w:val="single" w:sz="2" w:space="0" w:color="000000"/>
            </w:tcBorders>
            <w:vAlign w:val="center"/>
            <w:hideMark/>
          </w:tcPr>
          <w:p w14:paraId="5CAD27A2"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Acquisto di abitazione principale(non di lusso) da privato </w:t>
            </w:r>
          </w:p>
        </w:tc>
        <w:tc>
          <w:tcPr>
            <w:tcW w:w="0" w:type="auto"/>
            <w:tcBorders>
              <w:top w:val="single" w:sz="2" w:space="0" w:color="161616"/>
              <w:left w:val="single" w:sz="2" w:space="0" w:color="000000"/>
              <w:bottom w:val="single" w:sz="2" w:space="0" w:color="000000"/>
              <w:right w:val="single" w:sz="2" w:space="0" w:color="000000"/>
            </w:tcBorders>
            <w:vAlign w:val="center"/>
            <w:hideMark/>
          </w:tcPr>
          <w:p w14:paraId="79D66B3B"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3% </w:t>
            </w:r>
          </w:p>
        </w:tc>
        <w:tc>
          <w:tcPr>
            <w:tcW w:w="0" w:type="auto"/>
            <w:tcBorders>
              <w:top w:val="single" w:sz="2" w:space="0" w:color="161616"/>
              <w:left w:val="single" w:sz="2" w:space="0" w:color="000000"/>
              <w:bottom w:val="single" w:sz="2" w:space="0" w:color="000000"/>
              <w:right w:val="single" w:sz="2" w:space="0" w:color="000000"/>
            </w:tcBorders>
            <w:vAlign w:val="center"/>
            <w:hideMark/>
          </w:tcPr>
          <w:p w14:paraId="31DCC087"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168,00 </w:t>
            </w:r>
          </w:p>
        </w:tc>
        <w:tc>
          <w:tcPr>
            <w:tcW w:w="0" w:type="auto"/>
            <w:tcBorders>
              <w:top w:val="single" w:sz="2" w:space="0" w:color="161616"/>
              <w:left w:val="single" w:sz="2" w:space="0" w:color="000000"/>
              <w:bottom w:val="single" w:sz="2" w:space="0" w:color="000000"/>
              <w:right w:val="single" w:sz="2" w:space="0" w:color="000000"/>
            </w:tcBorders>
            <w:vAlign w:val="center"/>
            <w:hideMark/>
          </w:tcPr>
          <w:p w14:paraId="7CD2CBE3"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168,00 </w:t>
            </w:r>
          </w:p>
        </w:tc>
        <w:tc>
          <w:tcPr>
            <w:tcW w:w="0" w:type="auto"/>
            <w:tcBorders>
              <w:top w:val="single" w:sz="2" w:space="0" w:color="161616"/>
              <w:left w:val="single" w:sz="2" w:space="0" w:color="000000"/>
              <w:bottom w:val="single" w:sz="2" w:space="0" w:color="000000"/>
              <w:right w:val="single" w:sz="2" w:space="0" w:color="000000"/>
            </w:tcBorders>
            <w:vAlign w:val="center"/>
            <w:hideMark/>
          </w:tcPr>
          <w:p w14:paraId="3DE4C34B"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 </w:t>
            </w:r>
          </w:p>
        </w:tc>
      </w:tr>
      <w:tr w:rsidR="006D01A2" w:rsidRPr="008779C3" w14:paraId="40BD6F54" w14:textId="77777777" w:rsidTr="00FC6817">
        <w:tc>
          <w:tcPr>
            <w:tcW w:w="0" w:type="auto"/>
            <w:tcBorders>
              <w:top w:val="single" w:sz="2" w:space="0" w:color="000000"/>
              <w:left w:val="single" w:sz="36" w:space="0" w:color="0F0F0F"/>
              <w:bottom w:val="single" w:sz="2" w:space="0" w:color="000000"/>
              <w:right w:val="single" w:sz="2" w:space="0" w:color="000000"/>
            </w:tcBorders>
            <w:vAlign w:val="center"/>
            <w:hideMark/>
          </w:tcPr>
          <w:p w14:paraId="7F221B6C"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Acquisto di abitazione principale(non di lusso) da un impresa “non costruttrice”, da impresa “costruttrice” o che ristruttura (dopo 4 anni fine lavori) </w:t>
            </w:r>
          </w:p>
        </w:tc>
        <w:tc>
          <w:tcPr>
            <w:tcW w:w="0" w:type="auto"/>
            <w:tcBorders>
              <w:top w:val="single" w:sz="2" w:space="0" w:color="000000"/>
              <w:left w:val="single" w:sz="2" w:space="0" w:color="000000"/>
              <w:bottom w:val="single" w:sz="2" w:space="0" w:color="000000"/>
              <w:right w:val="single" w:sz="2" w:space="0" w:color="000000"/>
            </w:tcBorders>
            <w:vAlign w:val="center"/>
            <w:hideMark/>
          </w:tcPr>
          <w:p w14:paraId="5A82E8B5"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3% </w:t>
            </w:r>
          </w:p>
        </w:tc>
        <w:tc>
          <w:tcPr>
            <w:tcW w:w="0" w:type="auto"/>
            <w:tcBorders>
              <w:top w:val="single" w:sz="2" w:space="0" w:color="000000"/>
              <w:left w:val="single" w:sz="2" w:space="0" w:color="000000"/>
              <w:bottom w:val="single" w:sz="2" w:space="0" w:color="000000"/>
              <w:right w:val="single" w:sz="2" w:space="0" w:color="000000"/>
            </w:tcBorders>
            <w:vAlign w:val="center"/>
            <w:hideMark/>
          </w:tcPr>
          <w:p w14:paraId="6B2645F0"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168,00 </w:t>
            </w:r>
          </w:p>
        </w:tc>
        <w:tc>
          <w:tcPr>
            <w:tcW w:w="0" w:type="auto"/>
            <w:tcBorders>
              <w:top w:val="single" w:sz="2" w:space="0" w:color="000000"/>
              <w:left w:val="single" w:sz="2" w:space="0" w:color="000000"/>
              <w:bottom w:val="single" w:sz="2" w:space="0" w:color="000000"/>
              <w:right w:val="single" w:sz="2" w:space="0" w:color="000000"/>
            </w:tcBorders>
            <w:vAlign w:val="center"/>
            <w:hideMark/>
          </w:tcPr>
          <w:p w14:paraId="3655EE64"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168,00 </w:t>
            </w:r>
          </w:p>
        </w:tc>
        <w:tc>
          <w:tcPr>
            <w:tcW w:w="0" w:type="auto"/>
            <w:tcBorders>
              <w:top w:val="single" w:sz="2" w:space="0" w:color="000000"/>
              <w:left w:val="single" w:sz="2" w:space="0" w:color="000000"/>
              <w:bottom w:val="single" w:sz="2" w:space="0" w:color="000000"/>
              <w:right w:val="single" w:sz="2" w:space="0" w:color="000000"/>
            </w:tcBorders>
            <w:vAlign w:val="center"/>
            <w:hideMark/>
          </w:tcPr>
          <w:p w14:paraId="19A742E1"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 </w:t>
            </w:r>
          </w:p>
        </w:tc>
      </w:tr>
      <w:tr w:rsidR="006D01A2" w:rsidRPr="008779C3" w14:paraId="3212EF78" w14:textId="77777777" w:rsidTr="00FC6817">
        <w:tc>
          <w:tcPr>
            <w:tcW w:w="0" w:type="auto"/>
            <w:tcBorders>
              <w:top w:val="single" w:sz="2" w:space="0" w:color="000000"/>
              <w:left w:val="single" w:sz="36" w:space="0" w:color="0F0F0F"/>
              <w:bottom w:val="single" w:sz="6" w:space="0" w:color="191616"/>
              <w:right w:val="single" w:sz="2" w:space="0" w:color="000000"/>
            </w:tcBorders>
            <w:vAlign w:val="center"/>
            <w:hideMark/>
          </w:tcPr>
          <w:p w14:paraId="3E64CF32"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Acquisto di abitazione principale (non di lusso) da un impresa “costruttrice” o che ri- struttura e vende entro 4 anni fine lavori </w:t>
            </w:r>
          </w:p>
        </w:tc>
        <w:tc>
          <w:tcPr>
            <w:tcW w:w="0" w:type="auto"/>
            <w:tcBorders>
              <w:top w:val="single" w:sz="2" w:space="0" w:color="000000"/>
              <w:left w:val="single" w:sz="2" w:space="0" w:color="000000"/>
              <w:bottom w:val="single" w:sz="6" w:space="0" w:color="191616"/>
              <w:right w:val="single" w:sz="2" w:space="0" w:color="000000"/>
            </w:tcBorders>
            <w:vAlign w:val="center"/>
            <w:hideMark/>
          </w:tcPr>
          <w:p w14:paraId="3C6D774C"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168,00 </w:t>
            </w:r>
          </w:p>
        </w:tc>
        <w:tc>
          <w:tcPr>
            <w:tcW w:w="0" w:type="auto"/>
            <w:tcBorders>
              <w:top w:val="single" w:sz="2" w:space="0" w:color="000000"/>
              <w:left w:val="single" w:sz="2" w:space="0" w:color="000000"/>
              <w:bottom w:val="single" w:sz="6" w:space="0" w:color="191616"/>
              <w:right w:val="single" w:sz="2" w:space="0" w:color="000000"/>
            </w:tcBorders>
            <w:vAlign w:val="center"/>
            <w:hideMark/>
          </w:tcPr>
          <w:p w14:paraId="4E86790C"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168,00 </w:t>
            </w:r>
          </w:p>
        </w:tc>
        <w:tc>
          <w:tcPr>
            <w:tcW w:w="0" w:type="auto"/>
            <w:tcBorders>
              <w:top w:val="single" w:sz="2" w:space="0" w:color="000000"/>
              <w:left w:val="single" w:sz="2" w:space="0" w:color="000000"/>
              <w:bottom w:val="single" w:sz="6" w:space="0" w:color="191616"/>
              <w:right w:val="single" w:sz="2" w:space="0" w:color="000000"/>
            </w:tcBorders>
            <w:vAlign w:val="center"/>
            <w:hideMark/>
          </w:tcPr>
          <w:p w14:paraId="17DEA46B"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168,00 </w:t>
            </w:r>
          </w:p>
        </w:tc>
        <w:tc>
          <w:tcPr>
            <w:tcW w:w="0" w:type="auto"/>
            <w:tcBorders>
              <w:top w:val="single" w:sz="2" w:space="0" w:color="000000"/>
              <w:left w:val="single" w:sz="2" w:space="0" w:color="000000"/>
              <w:bottom w:val="single" w:sz="6" w:space="0" w:color="191616"/>
              <w:right w:val="single" w:sz="2" w:space="0" w:color="000000"/>
            </w:tcBorders>
            <w:vAlign w:val="center"/>
            <w:hideMark/>
          </w:tcPr>
          <w:p w14:paraId="5356554B"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4% </w:t>
            </w:r>
          </w:p>
        </w:tc>
      </w:tr>
      <w:tr w:rsidR="006D01A2" w:rsidRPr="008779C3" w14:paraId="29373CB7" w14:textId="77777777" w:rsidTr="00FC6817">
        <w:tc>
          <w:tcPr>
            <w:tcW w:w="0" w:type="auto"/>
            <w:gridSpan w:val="4"/>
            <w:tcBorders>
              <w:top w:val="single" w:sz="6" w:space="0" w:color="191616"/>
              <w:left w:val="single" w:sz="36" w:space="0" w:color="0F0F0F"/>
              <w:bottom w:val="single" w:sz="8" w:space="0" w:color="161616"/>
              <w:right w:val="single" w:sz="2" w:space="0" w:color="auto"/>
            </w:tcBorders>
            <w:shd w:val="clear" w:color="auto" w:fill="FFFFFF"/>
            <w:vAlign w:val="center"/>
            <w:hideMark/>
          </w:tcPr>
          <w:p w14:paraId="1B79A48A"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lang w:eastAsia="it-IT"/>
              </w:rPr>
              <w:t xml:space="preserve">SECONDA CASA </w:t>
            </w:r>
          </w:p>
        </w:tc>
        <w:tc>
          <w:tcPr>
            <w:tcW w:w="0" w:type="auto"/>
            <w:tcBorders>
              <w:top w:val="single" w:sz="6" w:space="0" w:color="191616"/>
              <w:left w:val="single" w:sz="2" w:space="0" w:color="auto"/>
              <w:bottom w:val="single" w:sz="8" w:space="0" w:color="161616"/>
              <w:right w:val="single" w:sz="2" w:space="0" w:color="000000"/>
            </w:tcBorders>
            <w:vAlign w:val="center"/>
            <w:hideMark/>
          </w:tcPr>
          <w:p w14:paraId="24AA02B9" w14:textId="77777777" w:rsidR="006D01A2" w:rsidRPr="008779C3" w:rsidRDefault="006D01A2" w:rsidP="00FC6817">
            <w:pPr>
              <w:rPr>
                <w:rFonts w:ascii="Times New Roman" w:hAnsi="Times New Roman" w:cs="Times New Roman"/>
                <w:lang w:eastAsia="it-IT"/>
              </w:rPr>
            </w:pPr>
          </w:p>
        </w:tc>
      </w:tr>
      <w:tr w:rsidR="006D01A2" w:rsidRPr="008779C3" w14:paraId="6863ACBE" w14:textId="77777777" w:rsidTr="00FC6817">
        <w:tc>
          <w:tcPr>
            <w:tcW w:w="0" w:type="auto"/>
            <w:tcBorders>
              <w:top w:val="single" w:sz="8" w:space="0" w:color="161616"/>
              <w:left w:val="single" w:sz="36" w:space="0" w:color="0F0F0F"/>
              <w:bottom w:val="single" w:sz="2" w:space="0" w:color="000000"/>
              <w:right w:val="single" w:sz="2" w:space="0" w:color="000000"/>
            </w:tcBorders>
            <w:vAlign w:val="center"/>
            <w:hideMark/>
          </w:tcPr>
          <w:p w14:paraId="4720F339"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Acquisto di abitazione non principale (anche di lusso) da privato </w:t>
            </w:r>
          </w:p>
        </w:tc>
        <w:tc>
          <w:tcPr>
            <w:tcW w:w="0" w:type="auto"/>
            <w:tcBorders>
              <w:top w:val="single" w:sz="8" w:space="0" w:color="161616"/>
              <w:left w:val="single" w:sz="2" w:space="0" w:color="000000"/>
              <w:bottom w:val="single" w:sz="2" w:space="0" w:color="000000"/>
              <w:right w:val="single" w:sz="2" w:space="0" w:color="000000"/>
            </w:tcBorders>
            <w:vAlign w:val="center"/>
            <w:hideMark/>
          </w:tcPr>
          <w:p w14:paraId="561FBB21"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7% </w:t>
            </w:r>
          </w:p>
        </w:tc>
        <w:tc>
          <w:tcPr>
            <w:tcW w:w="0" w:type="auto"/>
            <w:tcBorders>
              <w:top w:val="single" w:sz="8" w:space="0" w:color="161616"/>
              <w:left w:val="single" w:sz="2" w:space="0" w:color="000000"/>
              <w:bottom w:val="single" w:sz="2" w:space="0" w:color="000000"/>
              <w:right w:val="single" w:sz="2" w:space="0" w:color="000000"/>
            </w:tcBorders>
            <w:vAlign w:val="center"/>
            <w:hideMark/>
          </w:tcPr>
          <w:p w14:paraId="1A5AD0A2"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1% </w:t>
            </w:r>
          </w:p>
        </w:tc>
        <w:tc>
          <w:tcPr>
            <w:tcW w:w="0" w:type="auto"/>
            <w:tcBorders>
              <w:top w:val="single" w:sz="8" w:space="0" w:color="161616"/>
              <w:left w:val="single" w:sz="2" w:space="0" w:color="000000"/>
              <w:bottom w:val="single" w:sz="2" w:space="0" w:color="000000"/>
              <w:right w:val="single" w:sz="2" w:space="0" w:color="000000"/>
            </w:tcBorders>
            <w:vAlign w:val="center"/>
            <w:hideMark/>
          </w:tcPr>
          <w:p w14:paraId="2902A30E"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2% </w:t>
            </w:r>
          </w:p>
        </w:tc>
        <w:tc>
          <w:tcPr>
            <w:tcW w:w="0" w:type="auto"/>
            <w:tcBorders>
              <w:top w:val="single" w:sz="8" w:space="0" w:color="161616"/>
              <w:left w:val="single" w:sz="2" w:space="0" w:color="000000"/>
              <w:bottom w:val="single" w:sz="2" w:space="0" w:color="000000"/>
              <w:right w:val="single" w:sz="2" w:space="0" w:color="000000"/>
            </w:tcBorders>
            <w:vAlign w:val="center"/>
            <w:hideMark/>
          </w:tcPr>
          <w:p w14:paraId="65361F82"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 </w:t>
            </w:r>
          </w:p>
        </w:tc>
      </w:tr>
      <w:tr w:rsidR="006D01A2" w:rsidRPr="008779C3" w14:paraId="0A06A8C1" w14:textId="77777777" w:rsidTr="00FC6817">
        <w:tc>
          <w:tcPr>
            <w:tcW w:w="0" w:type="auto"/>
            <w:tcBorders>
              <w:top w:val="single" w:sz="2" w:space="0" w:color="000000"/>
              <w:left w:val="single" w:sz="36" w:space="0" w:color="0F0F0F"/>
              <w:bottom w:val="single" w:sz="2" w:space="0" w:color="000000"/>
              <w:right w:val="single" w:sz="2" w:space="0" w:color="000000"/>
            </w:tcBorders>
            <w:vAlign w:val="center"/>
            <w:hideMark/>
          </w:tcPr>
          <w:p w14:paraId="52E6F227"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Acquisto di abitazione non principale ( anche di lusso) da un impresa “non costruttrice”, da impresa “costruttrice” o che ristruttura (dopo 4 anni fine lavori) </w:t>
            </w:r>
          </w:p>
        </w:tc>
        <w:tc>
          <w:tcPr>
            <w:tcW w:w="0" w:type="auto"/>
            <w:tcBorders>
              <w:top w:val="single" w:sz="2" w:space="0" w:color="000000"/>
              <w:left w:val="single" w:sz="2" w:space="0" w:color="000000"/>
              <w:bottom w:val="single" w:sz="2" w:space="0" w:color="000000"/>
              <w:right w:val="single" w:sz="2" w:space="0" w:color="000000"/>
            </w:tcBorders>
            <w:vAlign w:val="center"/>
            <w:hideMark/>
          </w:tcPr>
          <w:p w14:paraId="00E4A90C"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7% </w:t>
            </w:r>
          </w:p>
        </w:tc>
        <w:tc>
          <w:tcPr>
            <w:tcW w:w="0" w:type="auto"/>
            <w:tcBorders>
              <w:top w:val="single" w:sz="2" w:space="0" w:color="000000"/>
              <w:left w:val="single" w:sz="2" w:space="0" w:color="000000"/>
              <w:bottom w:val="single" w:sz="2" w:space="0" w:color="000000"/>
              <w:right w:val="single" w:sz="2" w:space="0" w:color="000000"/>
            </w:tcBorders>
            <w:vAlign w:val="center"/>
            <w:hideMark/>
          </w:tcPr>
          <w:p w14:paraId="5F35F3E5"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1% </w:t>
            </w:r>
          </w:p>
        </w:tc>
        <w:tc>
          <w:tcPr>
            <w:tcW w:w="0" w:type="auto"/>
            <w:tcBorders>
              <w:top w:val="single" w:sz="2" w:space="0" w:color="000000"/>
              <w:left w:val="single" w:sz="2" w:space="0" w:color="000000"/>
              <w:bottom w:val="single" w:sz="2" w:space="0" w:color="000000"/>
              <w:right w:val="single" w:sz="2" w:space="0" w:color="000000"/>
            </w:tcBorders>
            <w:vAlign w:val="center"/>
            <w:hideMark/>
          </w:tcPr>
          <w:p w14:paraId="33DA7D6C"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2% </w:t>
            </w:r>
          </w:p>
        </w:tc>
        <w:tc>
          <w:tcPr>
            <w:tcW w:w="0" w:type="auto"/>
            <w:tcBorders>
              <w:top w:val="single" w:sz="2" w:space="0" w:color="000000"/>
              <w:left w:val="single" w:sz="2" w:space="0" w:color="000000"/>
              <w:bottom w:val="single" w:sz="2" w:space="0" w:color="000000"/>
              <w:right w:val="single" w:sz="2" w:space="0" w:color="000000"/>
            </w:tcBorders>
            <w:vAlign w:val="center"/>
            <w:hideMark/>
          </w:tcPr>
          <w:p w14:paraId="600A6662"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 </w:t>
            </w:r>
          </w:p>
        </w:tc>
      </w:tr>
      <w:tr w:rsidR="006D01A2" w:rsidRPr="008779C3" w14:paraId="4AF205F6" w14:textId="77777777" w:rsidTr="00FC6817">
        <w:tc>
          <w:tcPr>
            <w:tcW w:w="0" w:type="auto"/>
            <w:tcBorders>
              <w:top w:val="single" w:sz="2" w:space="0" w:color="000000"/>
              <w:left w:val="single" w:sz="36" w:space="0" w:color="0F0F0F"/>
              <w:bottom w:val="single" w:sz="2" w:space="0" w:color="000000"/>
              <w:right w:val="single" w:sz="2" w:space="0" w:color="000000"/>
            </w:tcBorders>
            <w:vAlign w:val="center"/>
            <w:hideMark/>
          </w:tcPr>
          <w:p w14:paraId="3C849DD9"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Acquisto di abitazione non principale (non di lusso) da un impresa “costruttrice” o che ri- struttura e vende entro 4 anni fine lavori </w:t>
            </w:r>
          </w:p>
        </w:tc>
        <w:tc>
          <w:tcPr>
            <w:tcW w:w="0" w:type="auto"/>
            <w:tcBorders>
              <w:top w:val="single" w:sz="2" w:space="0" w:color="000000"/>
              <w:left w:val="single" w:sz="2" w:space="0" w:color="000000"/>
              <w:bottom w:val="single" w:sz="2" w:space="0" w:color="000000"/>
              <w:right w:val="single" w:sz="2" w:space="0" w:color="000000"/>
            </w:tcBorders>
            <w:vAlign w:val="center"/>
            <w:hideMark/>
          </w:tcPr>
          <w:p w14:paraId="46A86E57"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168,00 </w:t>
            </w:r>
          </w:p>
        </w:tc>
        <w:tc>
          <w:tcPr>
            <w:tcW w:w="0" w:type="auto"/>
            <w:tcBorders>
              <w:top w:val="single" w:sz="2" w:space="0" w:color="000000"/>
              <w:left w:val="single" w:sz="2" w:space="0" w:color="000000"/>
              <w:bottom w:val="single" w:sz="2" w:space="0" w:color="000000"/>
              <w:right w:val="single" w:sz="2" w:space="0" w:color="000000"/>
            </w:tcBorders>
            <w:vAlign w:val="center"/>
            <w:hideMark/>
          </w:tcPr>
          <w:p w14:paraId="469DD7A5"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168,00 </w:t>
            </w:r>
          </w:p>
        </w:tc>
        <w:tc>
          <w:tcPr>
            <w:tcW w:w="0" w:type="auto"/>
            <w:tcBorders>
              <w:top w:val="single" w:sz="2" w:space="0" w:color="000000"/>
              <w:left w:val="single" w:sz="2" w:space="0" w:color="000000"/>
              <w:bottom w:val="single" w:sz="2" w:space="0" w:color="000000"/>
              <w:right w:val="single" w:sz="2" w:space="0" w:color="000000"/>
            </w:tcBorders>
            <w:vAlign w:val="center"/>
            <w:hideMark/>
          </w:tcPr>
          <w:p w14:paraId="3066BF31"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168,00 </w:t>
            </w:r>
          </w:p>
        </w:tc>
        <w:tc>
          <w:tcPr>
            <w:tcW w:w="0" w:type="auto"/>
            <w:tcBorders>
              <w:top w:val="single" w:sz="2" w:space="0" w:color="000000"/>
              <w:left w:val="single" w:sz="2" w:space="0" w:color="000000"/>
              <w:bottom w:val="single" w:sz="2" w:space="0" w:color="000000"/>
              <w:right w:val="single" w:sz="2" w:space="0" w:color="000000"/>
            </w:tcBorders>
            <w:vAlign w:val="center"/>
            <w:hideMark/>
          </w:tcPr>
          <w:p w14:paraId="70C18401" w14:textId="77777777" w:rsidR="006D01A2" w:rsidRPr="008779C3" w:rsidRDefault="006D01A2" w:rsidP="00FC6817">
            <w:pPr>
              <w:spacing w:before="100" w:beforeAutospacing="1" w:after="100" w:afterAutospacing="1"/>
              <w:rPr>
                <w:rFonts w:ascii="Times New Roman" w:hAnsi="Times New Roman" w:cs="Times New Roman"/>
                <w:lang w:eastAsia="it-IT"/>
              </w:rPr>
            </w:pPr>
            <w:r w:rsidRPr="008779C3">
              <w:rPr>
                <w:rFonts w:ascii="Formata" w:hAnsi="Formata" w:cs="Times New Roman"/>
                <w:sz w:val="20"/>
                <w:szCs w:val="20"/>
                <w:lang w:eastAsia="it-IT"/>
              </w:rPr>
              <w:t xml:space="preserve">10% </w:t>
            </w:r>
          </w:p>
        </w:tc>
      </w:tr>
    </w:tbl>
    <w:p w14:paraId="41DB81EA" w14:textId="77777777"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b/>
          <w:bCs/>
          <w:sz w:val="28"/>
          <w:szCs w:val="28"/>
          <w:lang w:eastAsia="it-IT"/>
        </w:rPr>
        <w:t xml:space="preserve">5. Plusvalenze </w:t>
      </w:r>
    </w:p>
    <w:p w14:paraId="1D13B5CB" w14:textId="77777777"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Il privato che vende una casa può realizzare una plusvalenza tassabile. </w:t>
      </w:r>
    </w:p>
    <w:p w14:paraId="1831E0AD" w14:textId="77777777"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La plusvalenza si realizza quando l’immobile è venduto ad una somma superiore al prezzo di acquisto sommato alle spese. La plusvalenza non è tassabile quando: </w:t>
      </w:r>
    </w:p>
    <w:p w14:paraId="4C84FB9A" w14:textId="77777777" w:rsidR="006D01A2" w:rsidRPr="008779C3" w:rsidRDefault="006D01A2" w:rsidP="006D01A2">
      <w:pPr>
        <w:numPr>
          <w:ilvl w:val="0"/>
          <w:numId w:val="5"/>
        </w:num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  sono trascorsi cinque anni dall’acquisto; </w:t>
      </w:r>
    </w:p>
    <w:p w14:paraId="24B529F9" w14:textId="77777777" w:rsidR="006D01A2" w:rsidRPr="00097657" w:rsidRDefault="006D01A2" w:rsidP="006D01A2">
      <w:pPr>
        <w:numPr>
          <w:ilvl w:val="0"/>
          <w:numId w:val="5"/>
        </w:num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la casa è stata adibita a residenza principale per la maggior parte del periodo di pos</w:t>
      </w:r>
      <w:r w:rsidRPr="00097657">
        <w:rPr>
          <w:rFonts w:ascii="Frutiger" w:hAnsi="Frutiger" w:cs="Times New Roman"/>
          <w:sz w:val="22"/>
          <w:szCs w:val="22"/>
          <w:lang w:eastAsia="it-IT"/>
        </w:rPr>
        <w:t>sesso: quindi se si vende una casa entro due anni dall’ac</w:t>
      </w:r>
      <w:r>
        <w:rPr>
          <w:rFonts w:ascii="Frutiger" w:hAnsi="Frutiger" w:cs="Times New Roman"/>
          <w:sz w:val="22"/>
          <w:szCs w:val="22"/>
          <w:lang w:eastAsia="it-IT"/>
        </w:rPr>
        <w:t>quisto, non si paga alcuna plu</w:t>
      </w:r>
      <w:r w:rsidRPr="00097657">
        <w:rPr>
          <w:rFonts w:ascii="Frutiger" w:hAnsi="Frutiger" w:cs="Times New Roman"/>
          <w:sz w:val="22"/>
          <w:szCs w:val="22"/>
          <w:lang w:eastAsia="it-IT"/>
        </w:rPr>
        <w:t xml:space="preserve">svalenza se la casa era stata adibita a residenza per più di un anno. </w:t>
      </w:r>
    </w:p>
    <w:p w14:paraId="551805EE" w14:textId="77777777"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Prima del 2006 erano escluse dalla tassazione anche le vendite di immobili pervenuti per donazione. </w:t>
      </w:r>
    </w:p>
    <w:p w14:paraId="15A85873" w14:textId="77777777"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Dal 4 luglio 2006 è stata reintrodotta la tassazione della plusvalenza in caso di vendita di un immobile ricevuto in donazione, se rivenduto entro 5 anni dal precedente acquisto da parte del donante. </w:t>
      </w:r>
    </w:p>
    <w:p w14:paraId="7655F736" w14:textId="77777777"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Il valore iniziale da considerare ai fini dell’imposta è il prezzo a cui il donante aveva in precedenza acquistato l’immobile. </w:t>
      </w:r>
    </w:p>
    <w:p w14:paraId="5AF9BEBD" w14:textId="77777777"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Al contrario l’esenzione è prevista per gli immobili pervenuti in eredità anche se venduti nei cinque anni </w:t>
      </w:r>
    </w:p>
    <w:p w14:paraId="3A1736B2" w14:textId="77777777"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La plusvalenza si paga attraverso la denuncia nella successiv</w:t>
      </w:r>
      <w:r>
        <w:rPr>
          <w:rFonts w:ascii="Frutiger" w:hAnsi="Frutiger" w:cs="Times New Roman"/>
          <w:sz w:val="22"/>
          <w:szCs w:val="22"/>
          <w:lang w:eastAsia="it-IT"/>
        </w:rPr>
        <w:t>a dichiarazione dei redditi op</w:t>
      </w:r>
      <w:r w:rsidRPr="008779C3">
        <w:rPr>
          <w:rFonts w:ascii="Frutiger" w:hAnsi="Frutiger" w:cs="Times New Roman"/>
          <w:sz w:val="22"/>
          <w:szCs w:val="22"/>
          <w:lang w:eastAsia="it-IT"/>
        </w:rPr>
        <w:t>pure si può scegliere di pagare l’imposta sostitutiva del 20% s</w:t>
      </w:r>
      <w:r>
        <w:rPr>
          <w:rFonts w:ascii="Frutiger" w:hAnsi="Frutiger" w:cs="Times New Roman"/>
          <w:sz w:val="22"/>
          <w:szCs w:val="22"/>
          <w:lang w:eastAsia="it-IT"/>
        </w:rPr>
        <w:t>ulla plusvalenza realizzata di</w:t>
      </w:r>
      <w:r w:rsidRPr="008779C3">
        <w:rPr>
          <w:rFonts w:ascii="Frutiger" w:hAnsi="Frutiger" w:cs="Times New Roman"/>
          <w:sz w:val="22"/>
          <w:szCs w:val="22"/>
          <w:lang w:eastAsia="it-IT"/>
        </w:rPr>
        <w:t xml:space="preserve">rettamente al momento della vendita, facendone espressa richiesta nell’atto. </w:t>
      </w:r>
    </w:p>
    <w:p w14:paraId="279A22EE" w14:textId="77777777"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b/>
          <w:bCs/>
          <w:sz w:val="28"/>
          <w:szCs w:val="28"/>
          <w:lang w:eastAsia="it-IT"/>
        </w:rPr>
        <w:t xml:space="preserve">6. Il costo del Notaio </w:t>
      </w:r>
    </w:p>
    <w:p w14:paraId="5F3ADD40" w14:textId="77777777"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Strettamente connesso al tema degli adempimenti fiscali l</w:t>
      </w:r>
      <w:r>
        <w:rPr>
          <w:rFonts w:ascii="Frutiger" w:hAnsi="Frutiger" w:cs="Times New Roman"/>
          <w:sz w:val="22"/>
          <w:szCs w:val="22"/>
          <w:lang w:eastAsia="it-IT"/>
        </w:rPr>
        <w:t>egati alla compravendita di im</w:t>
      </w:r>
      <w:r w:rsidRPr="008779C3">
        <w:rPr>
          <w:rFonts w:ascii="Frutiger" w:hAnsi="Frutiger" w:cs="Times New Roman"/>
          <w:sz w:val="22"/>
          <w:szCs w:val="22"/>
          <w:lang w:eastAsia="it-IT"/>
        </w:rPr>
        <w:t xml:space="preserve">mobili è quello del costo del notaio. </w:t>
      </w:r>
    </w:p>
    <w:p w14:paraId="7046C374" w14:textId="77777777"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Al notaio vengono liquidate le imposte e le tasse che questi riscuote per conto dello Stato, le spese sostenute presso gli uffici pubblici per la preparazione dell’atto e gli adempimenti successivi, oltre gli onorari per la sua attività. </w:t>
      </w:r>
    </w:p>
    <w:p w14:paraId="65C525DC" w14:textId="77777777"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Per le principali voci d’imposta si rimanda ai paragrafi precedenti; viceversa le voci di spesa sono essenzialmente quelle relative ai costi delle visure ipotecarie e catastali (e camerali ove necessario), della voltura e dello svolgimento degli ulteriori a</w:t>
      </w:r>
      <w:r>
        <w:rPr>
          <w:rFonts w:ascii="Frutiger" w:hAnsi="Frutiger" w:cs="Times New Roman"/>
          <w:sz w:val="22"/>
          <w:szCs w:val="22"/>
          <w:lang w:eastAsia="it-IT"/>
        </w:rPr>
        <w:t>dempimenti (registrazione, tra</w:t>
      </w:r>
      <w:r w:rsidRPr="008779C3">
        <w:rPr>
          <w:rFonts w:ascii="Frutiger" w:hAnsi="Frutiger" w:cs="Times New Roman"/>
          <w:sz w:val="22"/>
          <w:szCs w:val="22"/>
          <w:lang w:eastAsia="it-IT"/>
        </w:rPr>
        <w:t xml:space="preserve">scrizione, comunicazioni a pubblici uffici). </w:t>
      </w:r>
    </w:p>
    <w:p w14:paraId="574A5857" w14:textId="77777777"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L’elevato costo del rogito notarile è dovuto in gran parte pr</w:t>
      </w:r>
      <w:r>
        <w:rPr>
          <w:rFonts w:ascii="Frutiger" w:hAnsi="Frutiger" w:cs="Times New Roman"/>
          <w:sz w:val="22"/>
          <w:szCs w:val="22"/>
          <w:lang w:eastAsia="it-IT"/>
        </w:rPr>
        <w:t>oprio alle imposte di trasferi</w:t>
      </w:r>
      <w:r w:rsidRPr="008779C3">
        <w:rPr>
          <w:rFonts w:ascii="Frutiger" w:hAnsi="Frutiger" w:cs="Times New Roman"/>
          <w:sz w:val="22"/>
          <w:szCs w:val="22"/>
          <w:lang w:eastAsia="it-IT"/>
        </w:rPr>
        <w:t xml:space="preserve">mento, che devono essere versate allo Stato tramite il notaio. </w:t>
      </w:r>
    </w:p>
    <w:p w14:paraId="5A2BDF44" w14:textId="77777777"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L’onorario del notaio incide in realtà in misura inferiore</w:t>
      </w:r>
      <w:r>
        <w:rPr>
          <w:rFonts w:ascii="Frutiger" w:hAnsi="Frutiger" w:cs="Times New Roman"/>
          <w:sz w:val="22"/>
          <w:szCs w:val="22"/>
          <w:lang w:eastAsia="it-IT"/>
        </w:rPr>
        <w:t xml:space="preserve"> negli ultimi anni in funzione anche della crisi immobiliare che si e</w:t>
      </w:r>
      <w:r>
        <w:rPr>
          <w:rFonts w:ascii="Frutiger" w:hAnsi="Frutiger" w:cs="Times New Roman" w:hint="eastAsia"/>
          <w:sz w:val="22"/>
          <w:szCs w:val="22"/>
          <w:lang w:eastAsia="it-IT"/>
        </w:rPr>
        <w:t>’</w:t>
      </w:r>
      <w:r>
        <w:rPr>
          <w:rFonts w:ascii="Frutiger" w:hAnsi="Frutiger" w:cs="Times New Roman"/>
          <w:sz w:val="22"/>
          <w:szCs w:val="22"/>
          <w:lang w:eastAsia="it-IT"/>
        </w:rPr>
        <w:t xml:space="preserve"> verificata ,</w:t>
      </w:r>
      <w:r w:rsidRPr="008779C3">
        <w:rPr>
          <w:rFonts w:ascii="Frutiger" w:hAnsi="Frutiger" w:cs="Times New Roman"/>
          <w:sz w:val="22"/>
          <w:szCs w:val="22"/>
          <w:lang w:eastAsia="it-IT"/>
        </w:rPr>
        <w:t xml:space="preserve"> rispetto al comune sentire sulla spesa complessiva ed è regolato da un tariffario stabilito da</w:t>
      </w:r>
      <w:r>
        <w:rPr>
          <w:rFonts w:ascii="Frutiger" w:hAnsi="Frutiger" w:cs="Times New Roman"/>
          <w:sz w:val="22"/>
          <w:szCs w:val="22"/>
          <w:lang w:eastAsia="it-IT"/>
        </w:rPr>
        <w:t>lla legge a tutela del consuma</w:t>
      </w:r>
      <w:r w:rsidRPr="008779C3">
        <w:rPr>
          <w:rFonts w:ascii="Frutiger" w:hAnsi="Frutiger" w:cs="Times New Roman"/>
          <w:sz w:val="22"/>
          <w:szCs w:val="22"/>
          <w:lang w:eastAsia="it-IT"/>
        </w:rPr>
        <w:t>tore, che prende in considerazione i diversi tipi di atto</w:t>
      </w:r>
      <w:r>
        <w:rPr>
          <w:rFonts w:ascii="Frutiger" w:hAnsi="Frutiger" w:cs="Times New Roman"/>
          <w:sz w:val="22"/>
          <w:szCs w:val="22"/>
          <w:lang w:eastAsia="it-IT"/>
        </w:rPr>
        <w:t xml:space="preserve"> compravendita e mutuo</w:t>
      </w:r>
      <w:r w:rsidRPr="008779C3">
        <w:rPr>
          <w:rFonts w:ascii="Frutiger" w:hAnsi="Frutiger" w:cs="Times New Roman"/>
          <w:sz w:val="22"/>
          <w:szCs w:val="22"/>
          <w:lang w:eastAsia="it-IT"/>
        </w:rPr>
        <w:t xml:space="preserve"> per scaglione di valore. </w:t>
      </w:r>
    </w:p>
    <w:p w14:paraId="60210F7D" w14:textId="77777777"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L’onorario per le compravendite immobiliari è dunque calcolato sulla base dello scaglione corrispondente al valore del bene dichiarato in atto dalle parti (ridotto del 30% nelle ipotesi di applicazione del sistema del ”prezzo valore” come già visto). </w:t>
      </w:r>
    </w:p>
    <w:p w14:paraId="6F5C1BCE" w14:textId="77777777" w:rsidR="006D01A2" w:rsidRPr="008779C3" w:rsidRDefault="006D01A2" w:rsidP="006D01A2">
      <w:pPr>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L’onorario per la redazione dell’atto notarile è fisso per tu</w:t>
      </w:r>
      <w:r>
        <w:rPr>
          <w:rFonts w:ascii="Frutiger" w:hAnsi="Frutiger" w:cs="Times New Roman"/>
          <w:sz w:val="22"/>
          <w:szCs w:val="22"/>
          <w:lang w:eastAsia="it-IT"/>
        </w:rPr>
        <w:t>tti i notai, mentre possono va</w:t>
      </w:r>
      <w:r w:rsidRPr="008779C3">
        <w:rPr>
          <w:rFonts w:ascii="Frutiger" w:hAnsi="Frutiger" w:cs="Times New Roman"/>
          <w:sz w:val="22"/>
          <w:szCs w:val="22"/>
          <w:lang w:eastAsia="it-IT"/>
        </w:rPr>
        <w:t xml:space="preserve">riare, in misura modesta, le spese e i compensi richiesti per le attività preparatorie e per alcuni adempimenti successivi all’atto notarile. </w:t>
      </w:r>
    </w:p>
    <w:p w14:paraId="3BA38F2B" w14:textId="77777777" w:rsidR="006D01A2" w:rsidRPr="008779C3" w:rsidRDefault="006D01A2" w:rsidP="006D01A2">
      <w:pPr>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Il costo è preventivabile solo in linea di massima, in quanto in sede di liquidazione viene poi calcolato in modo dettagliato, in base alle attività svolte. </w:t>
      </w:r>
    </w:p>
    <w:p w14:paraId="0CB83CAA" w14:textId="77777777" w:rsidR="006D01A2" w:rsidRPr="008779C3" w:rsidRDefault="006D01A2" w:rsidP="006D01A2">
      <w:pPr>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In ogni caso, si possono chiedere chiarimenti sulla parcella del notaio al Consiglio notarile distrettuale, competente per territorio rispetto alla sede del notaio stesso. </w:t>
      </w:r>
    </w:p>
    <w:p w14:paraId="12FC09A5" w14:textId="77777777" w:rsidR="006D01A2" w:rsidRPr="008779C3" w:rsidRDefault="006D01A2" w:rsidP="006D01A2">
      <w:pPr>
        <w:spacing w:before="100" w:beforeAutospacing="1" w:after="100" w:afterAutospacing="1"/>
        <w:rPr>
          <w:rFonts w:ascii="Times New Roman" w:hAnsi="Times New Roman" w:cs="Times New Roman"/>
          <w:lang w:eastAsia="it-IT"/>
        </w:rPr>
      </w:pPr>
      <w:r w:rsidRPr="008779C3">
        <w:rPr>
          <w:rFonts w:ascii="Frutiger" w:hAnsi="Frutiger" w:cs="Times New Roman"/>
          <w:b/>
          <w:bCs/>
          <w:sz w:val="36"/>
          <w:szCs w:val="36"/>
          <w:lang w:eastAsia="it-IT"/>
        </w:rPr>
        <w:t xml:space="preserve">Le comunicazioni successive all’atto </w:t>
      </w:r>
    </w:p>
    <w:p w14:paraId="6A0AC825" w14:textId="77777777"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Una volta conclusa la compravendita di un immobile e l’eventuale atto di mutuo ipotecario non sono finite le incombenze a carico delle parti le quali sono successivamente obbligate ad effettuare tutta una serie di adempimenti minori. </w:t>
      </w:r>
    </w:p>
    <w:p w14:paraId="5714DD81" w14:textId="044A3968" w:rsidR="006D01A2" w:rsidRPr="008779C3" w:rsidRDefault="00EB5172" w:rsidP="006D01A2">
      <w:pPr>
        <w:spacing w:before="100" w:beforeAutospacing="1" w:after="100" w:afterAutospacing="1"/>
        <w:rPr>
          <w:rFonts w:ascii="Times New Roman" w:hAnsi="Times New Roman" w:cs="Times New Roman"/>
          <w:lang w:eastAsia="it-IT"/>
        </w:rPr>
      </w:pPr>
      <w:r>
        <w:rPr>
          <w:rFonts w:ascii="Frutiger" w:hAnsi="Frutiger" w:cs="Times New Roman"/>
          <w:b/>
          <w:bCs/>
          <w:sz w:val="28"/>
          <w:szCs w:val="28"/>
          <w:lang w:eastAsia="it-IT"/>
        </w:rPr>
        <w:t>1</w:t>
      </w:r>
      <w:r w:rsidR="006D01A2" w:rsidRPr="008779C3">
        <w:rPr>
          <w:rFonts w:ascii="Frutiger" w:hAnsi="Frutiger" w:cs="Times New Roman"/>
          <w:b/>
          <w:bCs/>
          <w:sz w:val="28"/>
          <w:szCs w:val="28"/>
          <w:lang w:eastAsia="it-IT"/>
        </w:rPr>
        <w:t xml:space="preserve">. Allacciamento principali utenze </w:t>
      </w:r>
    </w:p>
    <w:p w14:paraId="56827BD3" w14:textId="77777777" w:rsidR="006D01A2" w:rsidRPr="008779C3" w:rsidRDefault="006D01A2" w:rsidP="006D01A2">
      <w:pPr>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 xml:space="preserve">Dopo la presa di possesso dell’immobile nuovo, l’acquirente dovrà provvedere a chiedere l’utenza di luce, </w:t>
      </w:r>
      <w:r>
        <w:rPr>
          <w:rFonts w:ascii="Frutiger" w:hAnsi="Frutiger" w:cs="Times New Roman"/>
          <w:sz w:val="22"/>
          <w:szCs w:val="22"/>
          <w:lang w:eastAsia="it-IT"/>
        </w:rPr>
        <w:t>acqua, e gas.</w:t>
      </w:r>
    </w:p>
    <w:p w14:paraId="66D51EF3" w14:textId="5A74C5CB" w:rsidR="006D01A2" w:rsidRPr="008779C3" w:rsidRDefault="00EB5172" w:rsidP="006D01A2">
      <w:pPr>
        <w:shd w:val="clear" w:color="auto" w:fill="FFFFFF"/>
        <w:spacing w:before="100" w:beforeAutospacing="1" w:after="100" w:afterAutospacing="1"/>
        <w:rPr>
          <w:rFonts w:ascii="Times New Roman" w:hAnsi="Times New Roman" w:cs="Times New Roman"/>
          <w:lang w:eastAsia="it-IT"/>
        </w:rPr>
      </w:pPr>
      <w:r>
        <w:rPr>
          <w:rFonts w:ascii="Frutiger" w:hAnsi="Frutiger" w:cs="Times New Roman"/>
          <w:b/>
          <w:bCs/>
          <w:sz w:val="28"/>
          <w:szCs w:val="28"/>
          <w:lang w:eastAsia="it-IT"/>
        </w:rPr>
        <w:t>2</w:t>
      </w:r>
      <w:bookmarkStart w:id="0" w:name="_GoBack"/>
      <w:bookmarkEnd w:id="0"/>
      <w:r w:rsidR="006D01A2" w:rsidRPr="008779C3">
        <w:rPr>
          <w:rFonts w:ascii="Frutiger" w:hAnsi="Frutiger" w:cs="Times New Roman"/>
          <w:b/>
          <w:bCs/>
          <w:sz w:val="28"/>
          <w:szCs w:val="28"/>
          <w:lang w:eastAsia="it-IT"/>
        </w:rPr>
        <w:t xml:space="preserve">. Voltura spese condominiali </w:t>
      </w:r>
    </w:p>
    <w:p w14:paraId="19112D31" w14:textId="31FC8EFA"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Nel caso di acquisto di porzione di immobile in condominio</w:t>
      </w:r>
      <w:r>
        <w:rPr>
          <w:rFonts w:ascii="Frutiger" w:hAnsi="Frutiger" w:cs="Times New Roman"/>
          <w:sz w:val="22"/>
          <w:szCs w:val="22"/>
          <w:lang w:eastAsia="it-IT"/>
        </w:rPr>
        <w:t xml:space="preserve">, </w:t>
      </w:r>
      <w:r w:rsidR="00EB5172">
        <w:rPr>
          <w:rFonts w:ascii="Frutiger" w:hAnsi="Frutiger" w:cs="Times New Roman"/>
          <w:sz w:val="22"/>
          <w:szCs w:val="22"/>
          <w:lang w:eastAsia="it-IT"/>
        </w:rPr>
        <w:t>occorrerà</w:t>
      </w:r>
      <w:r>
        <w:rPr>
          <w:rFonts w:ascii="Frutiger" w:hAnsi="Frutiger" w:cs="Times New Roman"/>
          <w:sz w:val="22"/>
          <w:szCs w:val="22"/>
          <w:lang w:eastAsia="it-IT"/>
        </w:rPr>
        <w:t>̀ comunicare all’am</w:t>
      </w:r>
      <w:r w:rsidRPr="008779C3">
        <w:rPr>
          <w:rFonts w:ascii="Frutiger" w:hAnsi="Frutiger" w:cs="Times New Roman"/>
          <w:sz w:val="22"/>
          <w:szCs w:val="22"/>
          <w:lang w:eastAsia="it-IT"/>
        </w:rPr>
        <w:t>ministratore di condominio, preferibilmente con lettera rac</w:t>
      </w:r>
      <w:r>
        <w:rPr>
          <w:rFonts w:ascii="Frutiger" w:hAnsi="Frutiger" w:cs="Times New Roman"/>
          <w:sz w:val="22"/>
          <w:szCs w:val="22"/>
          <w:lang w:eastAsia="it-IT"/>
        </w:rPr>
        <w:t>comandata, l’avvenuto trasferi</w:t>
      </w:r>
      <w:r w:rsidRPr="008779C3">
        <w:rPr>
          <w:rFonts w:ascii="Frutiger" w:hAnsi="Frutiger" w:cs="Times New Roman"/>
          <w:sz w:val="22"/>
          <w:szCs w:val="22"/>
          <w:lang w:eastAsia="it-IT"/>
        </w:rPr>
        <w:t xml:space="preserve">mento di </w:t>
      </w:r>
      <w:r w:rsidR="00EB5172" w:rsidRPr="008779C3">
        <w:rPr>
          <w:rFonts w:ascii="Frutiger" w:hAnsi="Frutiger" w:cs="Times New Roman"/>
          <w:sz w:val="22"/>
          <w:szCs w:val="22"/>
          <w:lang w:eastAsia="it-IT"/>
        </w:rPr>
        <w:t>proprietà</w:t>
      </w:r>
      <w:r w:rsidRPr="008779C3">
        <w:rPr>
          <w:rFonts w:ascii="Frutiger" w:hAnsi="Frutiger" w:cs="Times New Roman"/>
          <w:sz w:val="22"/>
          <w:szCs w:val="22"/>
          <w:lang w:eastAsia="it-IT"/>
        </w:rPr>
        <w:t>̀</w:t>
      </w:r>
      <w:r>
        <w:rPr>
          <w:rFonts w:ascii="Frutiger" w:hAnsi="Frutiger" w:cs="Times New Roman"/>
          <w:sz w:val="22"/>
          <w:szCs w:val="22"/>
          <w:lang w:eastAsia="it-IT"/>
        </w:rPr>
        <w:t>.</w:t>
      </w:r>
      <w:r w:rsidRPr="008779C3">
        <w:rPr>
          <w:rFonts w:ascii="Frutiger" w:hAnsi="Frutiger" w:cs="Times New Roman"/>
          <w:sz w:val="22"/>
          <w:szCs w:val="22"/>
          <w:lang w:eastAsia="it-IT"/>
        </w:rPr>
        <w:t xml:space="preserve"> e chiedere all’amministratore stesso di provvedere al conguaglio tra venditore ed acquirente per le spese condominiali; tale adempimento è importante, perché, come si è già avuto occasione di rilevare, chi acquista una p</w:t>
      </w:r>
      <w:r>
        <w:rPr>
          <w:rFonts w:ascii="Frutiger" w:hAnsi="Frutiger" w:cs="Times New Roman"/>
          <w:sz w:val="22"/>
          <w:szCs w:val="22"/>
          <w:lang w:eastAsia="it-IT"/>
        </w:rPr>
        <w:t>orzione di immobile in condomi</w:t>
      </w:r>
      <w:r w:rsidRPr="008779C3">
        <w:rPr>
          <w:rFonts w:ascii="Frutiger" w:hAnsi="Frutiger" w:cs="Times New Roman"/>
          <w:sz w:val="22"/>
          <w:szCs w:val="22"/>
          <w:lang w:eastAsia="it-IT"/>
        </w:rPr>
        <w:t xml:space="preserve">nio è responsabile in solido col venditore dei pagamenti dell’anno precedente e di quello in corso omessi dal venditore stesso. </w:t>
      </w:r>
    </w:p>
    <w:p w14:paraId="42FF6D45" w14:textId="77777777" w:rsidR="006D01A2" w:rsidRPr="008779C3" w:rsidRDefault="006D01A2" w:rsidP="006D01A2">
      <w:pPr>
        <w:shd w:val="clear" w:color="auto" w:fill="FFFFFF"/>
        <w:spacing w:before="100" w:beforeAutospacing="1" w:after="100" w:afterAutospacing="1"/>
        <w:rPr>
          <w:rFonts w:ascii="Times New Roman" w:hAnsi="Times New Roman" w:cs="Times New Roman"/>
          <w:lang w:eastAsia="it-IT"/>
        </w:rPr>
      </w:pPr>
      <w:r w:rsidRPr="008779C3">
        <w:rPr>
          <w:rFonts w:ascii="Frutiger" w:hAnsi="Frutiger" w:cs="Times New Roman"/>
          <w:sz w:val="22"/>
          <w:szCs w:val="22"/>
          <w:lang w:eastAsia="it-IT"/>
        </w:rPr>
        <w:t>Inoltre la comunicazione della nuova intestazione della proprietà all’amministratore di condominio permetterà a quest’ultimo di notificare al nuovo pro</w:t>
      </w:r>
      <w:r>
        <w:rPr>
          <w:rFonts w:ascii="Frutiger" w:hAnsi="Frutiger" w:cs="Times New Roman"/>
          <w:sz w:val="22"/>
          <w:szCs w:val="22"/>
          <w:lang w:eastAsia="it-IT"/>
        </w:rPr>
        <w:t>prietario gli inviti alle pros</w:t>
      </w:r>
      <w:r w:rsidRPr="008779C3">
        <w:rPr>
          <w:rFonts w:ascii="Frutiger" w:hAnsi="Frutiger" w:cs="Times New Roman"/>
          <w:sz w:val="22"/>
          <w:szCs w:val="22"/>
          <w:lang w:eastAsia="it-IT"/>
        </w:rPr>
        <w:t xml:space="preserve">sime assemblee condominiali. </w:t>
      </w:r>
    </w:p>
    <w:p w14:paraId="5C0FB9F2" w14:textId="77777777" w:rsidR="003F23C7" w:rsidRDefault="00EB5172"/>
    <w:sectPr w:rsidR="003F23C7" w:rsidSect="009111F4">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Frutiger">
    <w:altName w:val="Times New Roman"/>
    <w:panose1 w:val="00000000000000000000"/>
    <w:charset w:val="00"/>
    <w:family w:val="roman"/>
    <w:notTrueType/>
    <w:pitch w:val="default"/>
  </w:font>
  <w:font w:name="Formata">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2933EC"/>
    <w:multiLevelType w:val="multilevel"/>
    <w:tmpl w:val="4BB26B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848628A"/>
    <w:multiLevelType w:val="multilevel"/>
    <w:tmpl w:val="01A2E8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B680E22"/>
    <w:multiLevelType w:val="multilevel"/>
    <w:tmpl w:val="9EFCB9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D685DC2"/>
    <w:multiLevelType w:val="multilevel"/>
    <w:tmpl w:val="6E74B8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843524D"/>
    <w:multiLevelType w:val="multilevel"/>
    <w:tmpl w:val="35B602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2"/>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displayBackgroundShape/>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01A2"/>
    <w:rsid w:val="006D01A2"/>
    <w:rsid w:val="009111F4"/>
    <w:rsid w:val="00EB5172"/>
    <w:rsid w:val="00F140A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6372006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6D01A2"/>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2237</Words>
  <Characters>12752</Characters>
  <Application>Microsoft Macintosh Word</Application>
  <DocSecurity>0</DocSecurity>
  <Lines>106</Lines>
  <Paragraphs>29</Paragraphs>
  <ScaleCrop>false</ScaleCrop>
  <LinksUpToDate>false</LinksUpToDate>
  <CharactersWithSpaces>14960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Utente di Microsoft Office</cp:lastModifiedBy>
  <cp:revision>2</cp:revision>
  <dcterms:created xsi:type="dcterms:W3CDTF">2019-01-08T09:22:00Z</dcterms:created>
  <dcterms:modified xsi:type="dcterms:W3CDTF">2019-01-08T10:49:00Z</dcterms:modified>
</cp:coreProperties>
</file>